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3863F" w14:textId="77777777" w:rsidR="0068680A" w:rsidRPr="00031F04" w:rsidRDefault="0068680A" w:rsidP="002C15A8">
      <w:pPr>
        <w:jc w:val="both"/>
        <w:rPr>
          <w:rFonts w:ascii="Times New Roman" w:hAnsi="Times New Roman" w:cs="Times New Roman"/>
          <w:b/>
          <w:bCs/>
        </w:rPr>
      </w:pPr>
    </w:p>
    <w:p w14:paraId="2AFA24CE" w14:textId="5E969734" w:rsidR="002C15A8" w:rsidRDefault="002C15A8" w:rsidP="002C15A8">
      <w:pPr>
        <w:jc w:val="both"/>
        <w:rPr>
          <w:rFonts w:ascii="Times New Roman" w:hAnsi="Times New Roman" w:cs="Times New Roman"/>
          <w:b/>
          <w:bCs/>
        </w:rPr>
      </w:pPr>
      <w:r w:rsidRPr="00031F04">
        <w:rPr>
          <w:rFonts w:ascii="Times New Roman" w:hAnsi="Times New Roman" w:cs="Times New Roman"/>
          <w:b/>
          <w:bCs/>
        </w:rPr>
        <w:t xml:space="preserve">DOCUMENTO DI SINTESI - </w:t>
      </w:r>
      <w:r w:rsidRPr="00E857CC">
        <w:rPr>
          <w:rFonts w:ascii="Times New Roman" w:hAnsi="Times New Roman" w:cs="Times New Roman"/>
          <w:b/>
          <w:bCs/>
        </w:rPr>
        <w:t>MODALITÀ DI CALCOLO E DI LIQUIDAZIONE DEI COMPENSI DEGLI ESPERTI NOMINATI DAL PREFETTO NELL’AMBITO DELLA PREVENZIONE COLLABORATIVA EX ART. 94-BIS DEL D.LGS. 159/2011</w:t>
      </w:r>
    </w:p>
    <w:p w14:paraId="3D9C6D92" w14:textId="5AE6896D" w:rsidR="00FC0F0C" w:rsidRPr="00031F04" w:rsidRDefault="00FC0F0C" w:rsidP="00FC0F0C">
      <w:pPr>
        <w:jc w:val="both"/>
        <w:rPr>
          <w:rFonts w:ascii="Times New Roman" w:hAnsi="Times New Roman" w:cs="Times New Roman"/>
          <w:b/>
          <w:bCs/>
        </w:rPr>
      </w:pPr>
      <w:r w:rsidRPr="00FC0F0C">
        <w:rPr>
          <w:rFonts w:ascii="Times New Roman" w:hAnsi="Times New Roman" w:cs="Times New Roman"/>
          <w:b/>
          <w:bCs/>
        </w:rPr>
        <w:t xml:space="preserve">INDICAZIONI OPERATIVE </w:t>
      </w:r>
      <w:r>
        <w:rPr>
          <w:rFonts w:ascii="Times New Roman" w:hAnsi="Times New Roman" w:cs="Times New Roman"/>
          <w:b/>
          <w:bCs/>
        </w:rPr>
        <w:t xml:space="preserve">PER </w:t>
      </w:r>
      <w:r w:rsidRPr="00FC0F0C">
        <w:rPr>
          <w:rFonts w:ascii="Times New Roman" w:hAnsi="Times New Roman" w:cs="Times New Roman"/>
          <w:b/>
          <w:bCs/>
        </w:rPr>
        <w:t>I LAVORI DEL GRUPPO INTERDISCIPLINARE E DELLE SUCCESSIVE ELABORAZIONI</w:t>
      </w:r>
    </w:p>
    <w:p w14:paraId="5962B7FE" w14:textId="1B9087CE" w:rsidR="002C15A8" w:rsidRPr="00031F04" w:rsidRDefault="002C15A8" w:rsidP="002C15A8">
      <w:pPr>
        <w:jc w:val="both"/>
        <w:rPr>
          <w:rFonts w:ascii="Times New Roman" w:hAnsi="Times New Roman" w:cs="Times New Roman"/>
          <w:b/>
          <w:bCs/>
        </w:rPr>
      </w:pPr>
      <w:r w:rsidRPr="00557130">
        <w:rPr>
          <w:rFonts w:ascii="Times New Roman" w:hAnsi="Times New Roman" w:cs="Times New Roman"/>
          <w:b/>
          <w:bCs/>
        </w:rPr>
        <w:t>Convocazione del Gruppo interdisciplinare ex D.D. n. 4231 del 31.3.2025, integrato con D.D. n. 5548 del 29.4.2025.</w:t>
      </w:r>
      <w:r w:rsidRPr="00031F04">
        <w:rPr>
          <w:rFonts w:ascii="Times New Roman" w:hAnsi="Times New Roman" w:cs="Times New Roman"/>
          <w:b/>
          <w:bCs/>
        </w:rPr>
        <w:t xml:space="preserve"> </w:t>
      </w:r>
      <w:proofErr w:type="gramStart"/>
      <w:r w:rsidRPr="00031F04">
        <w:rPr>
          <w:rFonts w:ascii="Times New Roman" w:hAnsi="Times New Roman" w:cs="Times New Roman"/>
          <w:b/>
          <w:bCs/>
        </w:rPr>
        <w:t>Riunione  8</w:t>
      </w:r>
      <w:proofErr w:type="gramEnd"/>
      <w:r w:rsidRPr="00031F04">
        <w:rPr>
          <w:rFonts w:ascii="Times New Roman" w:hAnsi="Times New Roman" w:cs="Times New Roman"/>
          <w:b/>
          <w:bCs/>
        </w:rPr>
        <w:t xml:space="preserve"> maggio 2025, riunione</w:t>
      </w:r>
      <w:r w:rsidR="00D46A7F" w:rsidRPr="00D46A7F">
        <w:rPr>
          <w:rFonts w:ascii="Times New Roman" w:hAnsi="Times New Roman" w:cs="Times New Roman"/>
          <w:b/>
          <w:bCs/>
        </w:rPr>
        <w:t xml:space="preserve"> </w:t>
      </w:r>
      <w:r w:rsidRPr="00031F04">
        <w:rPr>
          <w:rFonts w:ascii="Times New Roman" w:hAnsi="Times New Roman" w:cs="Times New Roman"/>
          <w:b/>
          <w:bCs/>
        </w:rPr>
        <w:t xml:space="preserve">20 maggio </w:t>
      </w:r>
      <w:r w:rsidR="00B52736" w:rsidRPr="00031F04">
        <w:rPr>
          <w:rFonts w:ascii="Times New Roman" w:hAnsi="Times New Roman" w:cs="Times New Roman"/>
          <w:b/>
          <w:bCs/>
        </w:rPr>
        <w:t>2025</w:t>
      </w:r>
      <w:r w:rsidR="00B52736">
        <w:rPr>
          <w:rFonts w:ascii="Times New Roman" w:hAnsi="Times New Roman" w:cs="Times New Roman"/>
          <w:b/>
          <w:bCs/>
        </w:rPr>
        <w:t>, riunione</w:t>
      </w:r>
      <w:r w:rsidR="00695208">
        <w:rPr>
          <w:rFonts w:ascii="Times New Roman" w:hAnsi="Times New Roman" w:cs="Times New Roman"/>
          <w:b/>
          <w:bCs/>
        </w:rPr>
        <w:t xml:space="preserve"> 6 agosto 2025</w:t>
      </w:r>
      <w:r w:rsidR="00AA1F67">
        <w:rPr>
          <w:rFonts w:ascii="Times New Roman" w:hAnsi="Times New Roman" w:cs="Times New Roman"/>
          <w:b/>
          <w:bCs/>
        </w:rPr>
        <w:t>, note conclusive</w:t>
      </w:r>
      <w:r w:rsidRPr="00031F04">
        <w:rPr>
          <w:rFonts w:ascii="Times New Roman" w:hAnsi="Times New Roman" w:cs="Times New Roman"/>
          <w:b/>
          <w:bCs/>
        </w:rPr>
        <w:t>.</w:t>
      </w:r>
    </w:p>
    <w:p w14:paraId="684859FF" w14:textId="77777777" w:rsidR="006955E9" w:rsidRPr="00031F04" w:rsidRDefault="00000000" w:rsidP="006955E9">
      <w:pPr>
        <w:rPr>
          <w:rFonts w:ascii="Times New Roman" w:hAnsi="Times New Roman" w:cs="Times New Roman"/>
          <w:noProof/>
        </w:rPr>
      </w:pPr>
      <w:r>
        <w:rPr>
          <w:rFonts w:ascii="Times New Roman" w:hAnsi="Times New Roman" w:cs="Times New Roman"/>
          <w:noProof/>
        </w:rPr>
        <w:pict w14:anchorId="4501D94E">
          <v:rect id="_x0000_i1026" style="width:0;height:1.5pt" o:hralign="center" o:bullet="t" o:hrstd="t" o:hr="t" fillcolor="#a0a0a0" stroked="f"/>
        </w:pict>
      </w:r>
    </w:p>
    <w:p w14:paraId="6EBCAE8D" w14:textId="77777777" w:rsidR="002C15A8" w:rsidRDefault="002C15A8" w:rsidP="002C15A8">
      <w:pPr>
        <w:jc w:val="both"/>
        <w:rPr>
          <w:rFonts w:ascii="Times New Roman" w:hAnsi="Times New Roman" w:cs="Times New Roman"/>
          <w:b/>
          <w:bCs/>
        </w:rPr>
      </w:pPr>
    </w:p>
    <w:p w14:paraId="2C5FEE6E" w14:textId="7C1D850E" w:rsidR="00AA1F67" w:rsidRPr="00473B97" w:rsidRDefault="00503BEA" w:rsidP="00503BEA">
      <w:pPr>
        <w:spacing w:line="276" w:lineRule="auto"/>
        <w:ind w:right="309"/>
        <w:jc w:val="center"/>
        <w:rPr>
          <w:b/>
          <w:bCs/>
        </w:rPr>
      </w:pPr>
      <w:r w:rsidRPr="00473B97">
        <w:rPr>
          <w:b/>
          <w:bCs/>
        </w:rPr>
        <w:t>Note finali e di precisazione richieste</w:t>
      </w:r>
      <w:r w:rsidR="00AA1F67" w:rsidRPr="00473B97">
        <w:rPr>
          <w:b/>
          <w:bCs/>
        </w:rPr>
        <w:t xml:space="preserve"> in data 6 agosto 2025 </w:t>
      </w:r>
      <w:r w:rsidR="00B52736" w:rsidRPr="00473B97">
        <w:rPr>
          <w:b/>
          <w:bCs/>
        </w:rPr>
        <w:t>- SINAGECO</w:t>
      </w:r>
    </w:p>
    <w:p w14:paraId="774ACD12" w14:textId="77777777" w:rsidR="00AA1F67" w:rsidRDefault="00AA1F67" w:rsidP="00AA1F67">
      <w:pPr>
        <w:spacing w:line="276" w:lineRule="auto"/>
        <w:ind w:left="143" w:right="309" w:firstLine="1268"/>
        <w:jc w:val="both"/>
        <w:rPr>
          <w:b/>
          <w:bCs/>
        </w:rPr>
      </w:pPr>
    </w:p>
    <w:p w14:paraId="0BAA26F3" w14:textId="088DB1A2" w:rsidR="00AA1F67" w:rsidRDefault="00AA1F67" w:rsidP="00AA1F67">
      <w:pPr>
        <w:spacing w:line="276" w:lineRule="auto"/>
        <w:ind w:left="143" w:right="309"/>
        <w:jc w:val="both"/>
      </w:pPr>
      <w:r w:rsidRPr="00BA08AA">
        <w:rPr>
          <w:b/>
          <w:bCs/>
        </w:rPr>
        <w:t>SINAGECO – Sindacato Nazionale Amministratori Giudiziari e Coadiutori</w:t>
      </w:r>
      <w:r>
        <w:rPr>
          <w:b/>
          <w:bCs/>
        </w:rPr>
        <w:t>,</w:t>
      </w:r>
      <w:r w:rsidR="00B52736" w:rsidRPr="00BA08AA">
        <w:t xml:space="preserve"> </w:t>
      </w:r>
      <w:r w:rsidRPr="00BA08AA">
        <w:t xml:space="preserve">esprime soddisfazione per aver partecipato attivamente ai lavori del Gruppo Interdisciplinare istituito con D.D. n. 4231 del 31 marzo 2025 e successivamente integrato con D.D. n. 5548 del 29 aprile 2025, dedicato alla definizione delle </w:t>
      </w:r>
      <w:r w:rsidRPr="00BA08AA">
        <w:rPr>
          <w:i/>
          <w:iCs/>
        </w:rPr>
        <w:t>Indicazioni Operative</w:t>
      </w:r>
      <w:r w:rsidRPr="00BA08AA">
        <w:t xml:space="preserve"> sui compensi degli esperti nominati ai sensi dell’art. 94-bis del D.lgs. 159/2011. </w:t>
      </w:r>
    </w:p>
    <w:p w14:paraId="67E691EB" w14:textId="77777777" w:rsidR="00AA1F67" w:rsidRDefault="00AA1F67" w:rsidP="00AA1F67">
      <w:pPr>
        <w:spacing w:line="276" w:lineRule="auto"/>
        <w:ind w:left="143" w:right="309"/>
        <w:jc w:val="both"/>
      </w:pPr>
      <w:r>
        <w:t xml:space="preserve">                </w:t>
      </w:r>
      <w:r w:rsidRPr="00BA08AA">
        <w:t xml:space="preserve">SINAGECO rinnova il proprio impegno a garantire equità, trasparenza e uniformità nei criteri di determinazione dei compensi su </w:t>
      </w:r>
      <w:r w:rsidRPr="00503BEA">
        <w:rPr>
          <w:i/>
          <w:iCs/>
        </w:rPr>
        <w:t>tutto il territorio nazionale</w:t>
      </w:r>
      <w:r w:rsidRPr="00BA08AA">
        <w:t>, affinché l’attività degli esperti sia correttamente valorizzata e retribuita in misura proporzionata alla complessità dell’incarico, al livello di responsabilità assunt</w:t>
      </w:r>
      <w:r>
        <w:t>a</w:t>
      </w:r>
      <w:r w:rsidRPr="00BA08AA">
        <w:t xml:space="preserve"> e ai risultati conseguiti.</w:t>
      </w:r>
    </w:p>
    <w:p w14:paraId="1FB1EF68" w14:textId="77777777" w:rsidR="00AA1F67" w:rsidRPr="00BA08AA" w:rsidRDefault="00AA1F67" w:rsidP="00AA1F67">
      <w:pPr>
        <w:spacing w:line="276" w:lineRule="auto"/>
        <w:ind w:left="143" w:right="309" w:firstLine="1268"/>
        <w:jc w:val="both"/>
      </w:pPr>
      <w:r w:rsidRPr="00BA08AA">
        <w:t xml:space="preserve">Il Sindacato ha confermato e consolidato i contributi già formulati nelle note tecniche trasmesse in preparazione delle riunioni del </w:t>
      </w:r>
      <w:r>
        <w:t xml:space="preserve">8 maggio, </w:t>
      </w:r>
      <w:r w:rsidRPr="00BA08AA">
        <w:t xml:space="preserve">20 maggio e del 6 agosto 2025. In occasione della riunione conclusiva del 6 agosto, e ringraziando il Dipartimento per l’invito e la collaborazione costruttiva, presenta ora le </w:t>
      </w:r>
      <w:r w:rsidRPr="00507CBA">
        <w:rPr>
          <w:b/>
          <w:bCs/>
        </w:rPr>
        <w:t>note finali e di precisazione</w:t>
      </w:r>
      <w:r w:rsidRPr="00BA08AA">
        <w:t xml:space="preserve"> richieste al termine dei lavori.</w:t>
      </w:r>
    </w:p>
    <w:p w14:paraId="083A1943" w14:textId="77777777" w:rsidR="00AA1F67" w:rsidRDefault="00AA1F67" w:rsidP="00AA1F67">
      <w:pPr>
        <w:spacing w:line="276" w:lineRule="auto"/>
        <w:ind w:left="143" w:right="309" w:firstLine="1268"/>
        <w:jc w:val="both"/>
      </w:pPr>
      <w:r w:rsidRPr="00BA08AA">
        <w:t>Il documento allegato raccoglie e sistematizza le modifiche, le integrazioni e le rettifiche condivise in sede di confronto, ponendo particolare attenzione ai punti di maggiore rilevanza tecnica e applicativa.</w:t>
      </w:r>
    </w:p>
    <w:p w14:paraId="45F8FBF8" w14:textId="77777777" w:rsidR="00122615" w:rsidRDefault="00122615" w:rsidP="00AA1F67">
      <w:pPr>
        <w:spacing w:line="276" w:lineRule="auto"/>
        <w:ind w:left="143" w:right="309" w:firstLine="1268"/>
        <w:jc w:val="both"/>
      </w:pPr>
    </w:p>
    <w:p w14:paraId="6DD0C10E" w14:textId="77777777" w:rsidR="00122615" w:rsidRPr="00BA08AA" w:rsidRDefault="00122615" w:rsidP="00AA1F67">
      <w:pPr>
        <w:spacing w:line="276" w:lineRule="auto"/>
        <w:ind w:left="143" w:right="309" w:firstLine="1268"/>
        <w:jc w:val="both"/>
      </w:pPr>
    </w:p>
    <w:p w14:paraId="568EEB11" w14:textId="77777777" w:rsidR="00AA1F67" w:rsidRDefault="00AA1F67" w:rsidP="00AA1F67">
      <w:pPr>
        <w:spacing w:line="276" w:lineRule="auto"/>
        <w:ind w:left="143" w:right="309" w:firstLine="1268"/>
        <w:jc w:val="both"/>
        <w:rPr>
          <w:b/>
          <w:bCs/>
        </w:rPr>
      </w:pPr>
    </w:p>
    <w:p w14:paraId="708B4596" w14:textId="77777777" w:rsidR="00AE153C" w:rsidRDefault="00AE153C" w:rsidP="00AA1F67">
      <w:pPr>
        <w:spacing w:line="276" w:lineRule="auto"/>
        <w:ind w:left="143" w:right="309" w:firstLine="1268"/>
        <w:jc w:val="both"/>
        <w:rPr>
          <w:b/>
          <w:bCs/>
        </w:rPr>
      </w:pPr>
    </w:p>
    <w:p w14:paraId="43DCD0C7" w14:textId="4893FE30" w:rsidR="00AA1F67" w:rsidRDefault="00AA1F67" w:rsidP="00AA1F67">
      <w:pPr>
        <w:spacing w:line="276" w:lineRule="auto"/>
        <w:ind w:left="143" w:right="309" w:firstLine="1268"/>
        <w:jc w:val="both"/>
        <w:rPr>
          <w:b/>
          <w:bCs/>
        </w:rPr>
      </w:pPr>
      <w:r w:rsidRPr="008C20A5">
        <w:rPr>
          <w:b/>
          <w:bCs/>
        </w:rPr>
        <w:t>Determinazione della base di calcolo del compenso</w:t>
      </w:r>
    </w:p>
    <w:p w14:paraId="4ECA21D9" w14:textId="77777777" w:rsidR="00AA1F67" w:rsidRPr="008C20A5" w:rsidRDefault="00AA1F67" w:rsidP="00AA1F67">
      <w:pPr>
        <w:spacing w:line="276" w:lineRule="auto"/>
        <w:ind w:left="143" w:right="309" w:firstLine="1268"/>
        <w:jc w:val="both"/>
      </w:pPr>
      <w:r w:rsidRPr="007239E8">
        <w:t xml:space="preserve">Con riferimento alla quantificazione del compenso, </w:t>
      </w:r>
      <w:r>
        <w:t>il</w:t>
      </w:r>
      <w:r w:rsidRPr="00AE1333">
        <w:t xml:space="preserve"> parametro principale per la determinazione del compenso dell’esperto è rappresentato </w:t>
      </w:r>
      <w:r w:rsidRPr="00DB5892">
        <w:rPr>
          <w:b/>
          <w:bCs/>
        </w:rPr>
        <w:t>dall’attivo patrimoniale lordo</w:t>
      </w:r>
      <w:r w:rsidRPr="00AE1333">
        <w:t>, desunto dal bilancio dell’impresa.</w:t>
      </w:r>
      <w:r w:rsidRPr="007239E8">
        <w:t xml:space="preserve"> Tuttavia, si raccomanda che, in sede di liquidazione finale, vengano adeguatamente valorizzati anche criteri di natura qualitativa, quali il grado di raggiungimento degli obiettivi prefissati, la complessità dell’intervento svolto, la durata effettiva dell’incarico e il livello di responsabilità concretamente assunto dall’esperto. Si sottolinea, in particolare, che il calcolo del compenso deve essere effettuato </w:t>
      </w:r>
      <w:r w:rsidRPr="0042057A">
        <w:rPr>
          <w:b/>
          <w:bCs/>
        </w:rPr>
        <w:t>in modo autonomo e distinto</w:t>
      </w:r>
      <w:r w:rsidRPr="007239E8">
        <w:t xml:space="preserve"> </w:t>
      </w:r>
      <w:r w:rsidRPr="00DB5892">
        <w:rPr>
          <w:b/>
          <w:bCs/>
        </w:rPr>
        <w:t>per ciascuna impresa</w:t>
      </w:r>
      <w:r w:rsidRPr="007239E8">
        <w:t xml:space="preserve"> assoggettata alla misura di prevenzione collaborativa, come confermato dalla più recente giurisprudenza di merito. Pertanto, i criteri utilizzati saranno i seguenti: </w:t>
      </w:r>
    </w:p>
    <w:p w14:paraId="6DF9D7E5" w14:textId="77777777" w:rsidR="00AA1F67" w:rsidRDefault="00AA1F67" w:rsidP="00AA1F67">
      <w:pPr>
        <w:spacing w:line="276" w:lineRule="auto"/>
        <w:ind w:left="143" w:right="309" w:firstLine="1268"/>
        <w:jc w:val="both"/>
      </w:pPr>
      <w:r w:rsidRPr="00FE6227">
        <w:t xml:space="preserve">Per le </w:t>
      </w:r>
      <w:r w:rsidRPr="00E57498">
        <w:rPr>
          <w:b/>
          <w:bCs/>
        </w:rPr>
        <w:t>imprese obbligate al deposito del bilancio di esercizio,</w:t>
      </w:r>
      <w:r w:rsidRPr="00FE6227">
        <w:t xml:space="preserve"> </w:t>
      </w:r>
      <w:r w:rsidRPr="000529BF">
        <w:t>ai sensi dell’art. 2435 c.c., il valore di riferimento è rappresentato dall’</w:t>
      </w:r>
      <w:r w:rsidRPr="00DB5892">
        <w:rPr>
          <w:b/>
          <w:bCs/>
        </w:rPr>
        <w:t>attivo lordo</w:t>
      </w:r>
      <w:r w:rsidRPr="000529BF">
        <w:t xml:space="preserve">, già rettificato </w:t>
      </w:r>
      <w:r>
        <w:t>delle corrispondenti poste del passivo</w:t>
      </w:r>
      <w:r w:rsidRPr="000529BF">
        <w:t xml:space="preserve">, così come risultante dallo stato patrimoniale, e </w:t>
      </w:r>
      <w:r w:rsidRPr="00DB5892">
        <w:rPr>
          <w:b/>
          <w:bCs/>
        </w:rPr>
        <w:t>stimato a valori di mercato</w:t>
      </w:r>
      <w:r w:rsidRPr="000529BF">
        <w:t xml:space="preserve"> sulla base dell’ultimo bilancio approvato o, in alternativa, dell’ultimo schema di bilancio predisposto alla data di conferimento dell’incarico.</w:t>
      </w:r>
    </w:p>
    <w:p w14:paraId="24DC5205" w14:textId="77777777" w:rsidR="00AA1F67" w:rsidRPr="00FE6227" w:rsidRDefault="00AA1F67" w:rsidP="00AA1F67">
      <w:pPr>
        <w:spacing w:line="276" w:lineRule="auto"/>
        <w:ind w:left="143" w:right="309" w:firstLine="1268"/>
        <w:jc w:val="both"/>
      </w:pPr>
      <w:r w:rsidRPr="00E57498">
        <w:rPr>
          <w:b/>
          <w:bCs/>
        </w:rPr>
        <w:t>Per le altre imprese</w:t>
      </w:r>
      <w:r w:rsidRPr="00FE6227">
        <w:t xml:space="preserve"> – ad eccezione di quelle agricole di cui all’art. 2135 c.c. – </w:t>
      </w:r>
      <w:r w:rsidRPr="00DB5892">
        <w:rPr>
          <w:i/>
          <w:iCs/>
        </w:rPr>
        <w:t>non soggette all’obbligo di deposito del bilancio</w:t>
      </w:r>
      <w:r w:rsidRPr="00FE6227">
        <w:t xml:space="preserve">, il valore di riferimento è rappresentato dall’ammontare delle attività indicate nel </w:t>
      </w:r>
      <w:r w:rsidRPr="00E57498">
        <w:rPr>
          <w:b/>
          <w:bCs/>
        </w:rPr>
        <w:t>libro inventari,</w:t>
      </w:r>
      <w:r w:rsidRPr="00FE6227">
        <w:t xml:space="preserve"> redatto ai sensi dell’art. 2214 c.c. e aggiornato alla data di assegnazione dell’incarico, con stima effettuata a </w:t>
      </w:r>
      <w:r w:rsidRPr="00E57498">
        <w:rPr>
          <w:i/>
          <w:iCs/>
        </w:rPr>
        <w:t>valori di mercato</w:t>
      </w:r>
      <w:r w:rsidRPr="00FE6227">
        <w:t>.</w:t>
      </w:r>
    </w:p>
    <w:p w14:paraId="33435DF6" w14:textId="77777777" w:rsidR="00AA1F67" w:rsidRPr="00FE6227" w:rsidRDefault="00AA1F67" w:rsidP="00AA1F67">
      <w:pPr>
        <w:spacing w:line="276" w:lineRule="auto"/>
        <w:ind w:left="143" w:right="309" w:firstLine="1268"/>
        <w:jc w:val="both"/>
      </w:pPr>
      <w:r w:rsidRPr="00FE6227">
        <w:t xml:space="preserve">Per le </w:t>
      </w:r>
      <w:r w:rsidRPr="00E57498">
        <w:rPr>
          <w:b/>
          <w:bCs/>
        </w:rPr>
        <w:t>imprese che non svolgono attività commerciale e per le imprese agricole</w:t>
      </w:r>
      <w:r>
        <w:rPr>
          <w:b/>
          <w:bCs/>
        </w:rPr>
        <w:t xml:space="preserve"> (non in forma societaria)</w:t>
      </w:r>
      <w:r w:rsidRPr="00FE6227">
        <w:t>, in particolare se costituite in forma individuale e non obbligate alla tenuta delle scritture contabili ex art. 2214 c.c., l’individuazione delle attività lorde del patrimonio aziendale avviene attraverso l’esame di documentazione e registri pubblici, quali:</w:t>
      </w:r>
    </w:p>
    <w:p w14:paraId="3A787F88" w14:textId="77777777" w:rsidR="00AA1F67" w:rsidRPr="00FE6227" w:rsidRDefault="00AA1F67" w:rsidP="00AA1F67">
      <w:pPr>
        <w:widowControl w:val="0"/>
        <w:numPr>
          <w:ilvl w:val="0"/>
          <w:numId w:val="19"/>
        </w:numPr>
        <w:autoSpaceDE w:val="0"/>
        <w:autoSpaceDN w:val="0"/>
        <w:spacing w:after="0" w:line="276" w:lineRule="auto"/>
        <w:ind w:right="309"/>
        <w:jc w:val="both"/>
      </w:pPr>
      <w:r w:rsidRPr="00FE6227">
        <w:rPr>
          <w:b/>
          <w:bCs/>
        </w:rPr>
        <w:t>Catasto terreni e fabbricati</w:t>
      </w:r>
      <w:r w:rsidRPr="00FE6227">
        <w:t>, per l’individuazione di immobili e terreni rurali, con indicazione di destinazione e coltura;</w:t>
      </w:r>
    </w:p>
    <w:p w14:paraId="3BC16417" w14:textId="77777777" w:rsidR="00AA1F67" w:rsidRPr="00FE6227" w:rsidRDefault="00AA1F67" w:rsidP="00AA1F67">
      <w:pPr>
        <w:widowControl w:val="0"/>
        <w:numPr>
          <w:ilvl w:val="0"/>
          <w:numId w:val="19"/>
        </w:numPr>
        <w:autoSpaceDE w:val="0"/>
        <w:autoSpaceDN w:val="0"/>
        <w:spacing w:after="0" w:line="276" w:lineRule="auto"/>
        <w:ind w:right="309"/>
        <w:jc w:val="both"/>
      </w:pPr>
      <w:r w:rsidRPr="00FE6227">
        <w:rPr>
          <w:b/>
          <w:bCs/>
        </w:rPr>
        <w:t>Conservatoria dei registri immobiliari</w:t>
      </w:r>
      <w:r w:rsidRPr="00FE6227">
        <w:t>, per la verifica della titolarità e dell’esistenza di eventuali gravami;</w:t>
      </w:r>
    </w:p>
    <w:p w14:paraId="05299E7A" w14:textId="77777777" w:rsidR="00AA1F67" w:rsidRPr="00FE6227" w:rsidRDefault="00AA1F67" w:rsidP="00AA1F67">
      <w:pPr>
        <w:widowControl w:val="0"/>
        <w:numPr>
          <w:ilvl w:val="0"/>
          <w:numId w:val="19"/>
        </w:numPr>
        <w:autoSpaceDE w:val="0"/>
        <w:autoSpaceDN w:val="0"/>
        <w:spacing w:after="0" w:line="276" w:lineRule="auto"/>
        <w:ind w:right="309"/>
        <w:jc w:val="both"/>
      </w:pPr>
      <w:r w:rsidRPr="00FE6227">
        <w:rPr>
          <w:b/>
          <w:bCs/>
        </w:rPr>
        <w:t>Pubblico Registro Automobilistico (PRA)</w:t>
      </w:r>
      <w:r w:rsidRPr="00FE6227">
        <w:t xml:space="preserve"> e registri macchine agricole, per veicoli e macchinari registrati;</w:t>
      </w:r>
    </w:p>
    <w:p w14:paraId="28B152D0" w14:textId="77777777" w:rsidR="00AA1F67" w:rsidRPr="00FE6227" w:rsidRDefault="00AA1F67" w:rsidP="00AA1F67">
      <w:pPr>
        <w:widowControl w:val="0"/>
        <w:numPr>
          <w:ilvl w:val="0"/>
          <w:numId w:val="19"/>
        </w:numPr>
        <w:autoSpaceDE w:val="0"/>
        <w:autoSpaceDN w:val="0"/>
        <w:spacing w:after="0" w:line="276" w:lineRule="auto"/>
        <w:ind w:right="309"/>
        <w:jc w:val="both"/>
      </w:pPr>
      <w:r w:rsidRPr="00FE6227">
        <w:rPr>
          <w:b/>
          <w:bCs/>
        </w:rPr>
        <w:t>Documentazione fiscale</w:t>
      </w:r>
      <w:r w:rsidRPr="00FE6227">
        <w:t xml:space="preserve"> (fatture di acquisto, registro dei beni ammortizzabili), per macchinari e attrezzature non soggetti a registrazione;</w:t>
      </w:r>
    </w:p>
    <w:p w14:paraId="35C2BAA6" w14:textId="77777777" w:rsidR="00AA1F67" w:rsidRPr="00FE6227" w:rsidRDefault="00AA1F67" w:rsidP="00AA1F67">
      <w:pPr>
        <w:widowControl w:val="0"/>
        <w:numPr>
          <w:ilvl w:val="0"/>
          <w:numId w:val="19"/>
        </w:numPr>
        <w:autoSpaceDE w:val="0"/>
        <w:autoSpaceDN w:val="0"/>
        <w:spacing w:after="0" w:line="276" w:lineRule="auto"/>
        <w:ind w:right="309"/>
        <w:jc w:val="both"/>
      </w:pPr>
      <w:r w:rsidRPr="00FE6227">
        <w:rPr>
          <w:b/>
          <w:bCs/>
        </w:rPr>
        <w:t>Registri e banche dati zootecniche (BDN)</w:t>
      </w:r>
      <w:r w:rsidRPr="00FE6227">
        <w:t xml:space="preserve"> e registri di stalla, per il bestiame;</w:t>
      </w:r>
    </w:p>
    <w:p w14:paraId="0A7F37EB" w14:textId="77777777" w:rsidR="00AA1F67" w:rsidRPr="00FE6227" w:rsidRDefault="00AA1F67" w:rsidP="00AA1F67">
      <w:pPr>
        <w:widowControl w:val="0"/>
        <w:numPr>
          <w:ilvl w:val="0"/>
          <w:numId w:val="19"/>
        </w:numPr>
        <w:autoSpaceDE w:val="0"/>
        <w:autoSpaceDN w:val="0"/>
        <w:spacing w:after="0" w:line="276" w:lineRule="auto"/>
        <w:ind w:right="309"/>
        <w:jc w:val="both"/>
      </w:pPr>
      <w:r w:rsidRPr="00FE6227">
        <w:rPr>
          <w:b/>
          <w:bCs/>
        </w:rPr>
        <w:t>Piani colturali e domande PAC/AGEA</w:t>
      </w:r>
      <w:r w:rsidRPr="00FE6227">
        <w:t>, per le colture in atto;</w:t>
      </w:r>
    </w:p>
    <w:p w14:paraId="4D90DC08" w14:textId="77777777" w:rsidR="00AA1F67" w:rsidRPr="00FE6227" w:rsidRDefault="00AA1F67" w:rsidP="00AA1F67">
      <w:pPr>
        <w:widowControl w:val="0"/>
        <w:numPr>
          <w:ilvl w:val="0"/>
          <w:numId w:val="19"/>
        </w:numPr>
        <w:autoSpaceDE w:val="0"/>
        <w:autoSpaceDN w:val="0"/>
        <w:spacing w:after="0" w:line="276" w:lineRule="auto"/>
        <w:ind w:right="309"/>
        <w:jc w:val="both"/>
      </w:pPr>
      <w:r w:rsidRPr="00FE6227">
        <w:rPr>
          <w:b/>
          <w:bCs/>
        </w:rPr>
        <w:lastRenderedPageBreak/>
        <w:t>Contratti di leasing, comodato o locazione</w:t>
      </w:r>
      <w:r w:rsidRPr="00FE6227">
        <w:t>, per distinguere i beni di proprietà da quelli detenuti a diverso titolo;</w:t>
      </w:r>
    </w:p>
    <w:p w14:paraId="4955F872" w14:textId="77777777" w:rsidR="00AA1F67" w:rsidRDefault="00AA1F67" w:rsidP="00AA1F67">
      <w:pPr>
        <w:widowControl w:val="0"/>
        <w:numPr>
          <w:ilvl w:val="0"/>
          <w:numId w:val="19"/>
        </w:numPr>
        <w:autoSpaceDE w:val="0"/>
        <w:autoSpaceDN w:val="0"/>
        <w:spacing w:after="0" w:line="276" w:lineRule="auto"/>
        <w:ind w:right="309"/>
        <w:jc w:val="both"/>
      </w:pPr>
      <w:r w:rsidRPr="00FE6227">
        <w:rPr>
          <w:b/>
          <w:bCs/>
        </w:rPr>
        <w:t>Elenchi predisposti</w:t>
      </w:r>
      <w:r w:rsidRPr="00FE6227">
        <w:t xml:space="preserve"> per finalità assicurative, perizie o partecipazione a bandi pubblici.</w:t>
      </w:r>
    </w:p>
    <w:p w14:paraId="070DA614" w14:textId="77777777" w:rsidR="00B52736" w:rsidRPr="00FE6227" w:rsidRDefault="00B52736" w:rsidP="00B52736">
      <w:pPr>
        <w:widowControl w:val="0"/>
        <w:autoSpaceDE w:val="0"/>
        <w:autoSpaceDN w:val="0"/>
        <w:spacing w:after="0" w:line="276" w:lineRule="auto"/>
        <w:ind w:left="720" w:right="309"/>
        <w:jc w:val="both"/>
      </w:pPr>
    </w:p>
    <w:p w14:paraId="02290994" w14:textId="77777777" w:rsidR="00AA1F67" w:rsidRPr="007239E8" w:rsidRDefault="00AA1F67" w:rsidP="00AA1F67">
      <w:pPr>
        <w:spacing w:line="276" w:lineRule="auto"/>
        <w:ind w:left="143" w:right="309" w:firstLine="1268"/>
        <w:jc w:val="both"/>
        <w:rPr>
          <w:b/>
          <w:bCs/>
        </w:rPr>
      </w:pPr>
      <w:r w:rsidRPr="007239E8">
        <w:rPr>
          <w:b/>
          <w:bCs/>
        </w:rPr>
        <w:t>Altri elementi inclusi nella base di calcolo</w:t>
      </w:r>
    </w:p>
    <w:p w14:paraId="7B613646" w14:textId="77777777" w:rsidR="00AA1F67" w:rsidRPr="007239E8" w:rsidRDefault="00AA1F67" w:rsidP="00AA1F67">
      <w:pPr>
        <w:numPr>
          <w:ilvl w:val="0"/>
          <w:numId w:val="20"/>
        </w:numPr>
        <w:spacing w:before="100" w:beforeAutospacing="1" w:after="100" w:afterAutospacing="1" w:line="240" w:lineRule="auto"/>
        <w:rPr>
          <w:rFonts w:eastAsia="Times New Roman" w:cs="Times New Roman"/>
          <w:sz w:val="24"/>
          <w:szCs w:val="24"/>
          <w:lang w:eastAsia="it-IT"/>
        </w:rPr>
      </w:pPr>
      <w:r w:rsidRPr="007239E8">
        <w:rPr>
          <w:rFonts w:eastAsia="Times New Roman" w:cs="Times New Roman"/>
          <w:sz w:val="24"/>
          <w:szCs w:val="24"/>
          <w:lang w:eastAsia="it-IT"/>
        </w:rPr>
        <w:t>Crediti certi al valore nominale (da fonti ufficiali o extracontabili);</w:t>
      </w:r>
    </w:p>
    <w:p w14:paraId="5B6C0E85" w14:textId="77777777" w:rsidR="00AA1F67" w:rsidRPr="007239E8" w:rsidRDefault="00AA1F67" w:rsidP="00AA1F67">
      <w:pPr>
        <w:numPr>
          <w:ilvl w:val="0"/>
          <w:numId w:val="20"/>
        </w:numPr>
        <w:spacing w:before="100" w:beforeAutospacing="1" w:after="100" w:afterAutospacing="1" w:line="240" w:lineRule="auto"/>
        <w:rPr>
          <w:rFonts w:eastAsia="Times New Roman" w:cs="Times New Roman"/>
          <w:sz w:val="24"/>
          <w:szCs w:val="24"/>
          <w:lang w:eastAsia="it-IT"/>
        </w:rPr>
      </w:pPr>
      <w:r w:rsidRPr="007239E8">
        <w:rPr>
          <w:rFonts w:eastAsia="Times New Roman" w:cs="Times New Roman"/>
          <w:sz w:val="24"/>
          <w:szCs w:val="24"/>
          <w:lang w:eastAsia="it-IT"/>
        </w:rPr>
        <w:t xml:space="preserve">Rimanenze iscritte nei registri fiscali, </w:t>
      </w:r>
      <w:r w:rsidRPr="00DB5892">
        <w:rPr>
          <w:rFonts w:eastAsia="Times New Roman" w:cs="Times New Roman"/>
          <w:i/>
          <w:iCs/>
          <w:sz w:val="24"/>
          <w:szCs w:val="24"/>
          <w:lang w:eastAsia="it-IT"/>
        </w:rPr>
        <w:t>valorizzate al prezzo di mercato</w:t>
      </w:r>
      <w:r w:rsidRPr="007239E8">
        <w:rPr>
          <w:rFonts w:eastAsia="Times New Roman" w:cs="Times New Roman"/>
          <w:sz w:val="24"/>
          <w:szCs w:val="24"/>
          <w:lang w:eastAsia="it-IT"/>
        </w:rPr>
        <w:t>;</w:t>
      </w:r>
    </w:p>
    <w:p w14:paraId="5B75F53B" w14:textId="77777777" w:rsidR="00AA1F67" w:rsidRPr="007239E8" w:rsidRDefault="00AA1F67" w:rsidP="00AA1F67">
      <w:pPr>
        <w:numPr>
          <w:ilvl w:val="0"/>
          <w:numId w:val="20"/>
        </w:numPr>
        <w:spacing w:before="100" w:beforeAutospacing="1" w:after="100" w:afterAutospacing="1" w:line="240" w:lineRule="auto"/>
        <w:rPr>
          <w:rFonts w:eastAsia="Times New Roman" w:cs="Times New Roman"/>
          <w:sz w:val="24"/>
          <w:szCs w:val="24"/>
          <w:lang w:eastAsia="it-IT"/>
        </w:rPr>
      </w:pPr>
      <w:r w:rsidRPr="007239E8">
        <w:rPr>
          <w:rFonts w:eastAsia="Times New Roman" w:cs="Times New Roman"/>
          <w:sz w:val="24"/>
          <w:szCs w:val="24"/>
          <w:lang w:eastAsia="it-IT"/>
        </w:rPr>
        <w:t>Disponibilità liquide verificate dai saldi attivi dei conti correnti;</w:t>
      </w:r>
    </w:p>
    <w:p w14:paraId="574DCE5F" w14:textId="77777777" w:rsidR="00AA1F67" w:rsidRPr="007239E8" w:rsidRDefault="00AA1F67" w:rsidP="00AA1F67">
      <w:pPr>
        <w:numPr>
          <w:ilvl w:val="0"/>
          <w:numId w:val="20"/>
        </w:numPr>
        <w:spacing w:before="100" w:beforeAutospacing="1" w:after="100" w:afterAutospacing="1" w:line="240" w:lineRule="auto"/>
        <w:rPr>
          <w:rFonts w:eastAsia="Times New Roman" w:cs="Times New Roman"/>
          <w:sz w:val="24"/>
          <w:szCs w:val="24"/>
          <w:lang w:eastAsia="it-IT"/>
        </w:rPr>
      </w:pPr>
      <w:r w:rsidRPr="007239E8">
        <w:rPr>
          <w:rFonts w:eastAsia="Times New Roman" w:cs="Times New Roman"/>
          <w:sz w:val="24"/>
          <w:szCs w:val="24"/>
          <w:lang w:eastAsia="it-IT"/>
        </w:rPr>
        <w:t>Avviamento determinato con il metodo fiscale dell’Agenzia delle Entrate (percentuale di redditività sulla media dei ricavi accertati o dichiarati negli ultimi tre periodi d’imposta);</w:t>
      </w:r>
    </w:p>
    <w:p w14:paraId="5EF2E89A" w14:textId="77777777" w:rsidR="00AA1F67" w:rsidRPr="007239E8" w:rsidRDefault="00AA1F67" w:rsidP="00AA1F67">
      <w:pPr>
        <w:numPr>
          <w:ilvl w:val="0"/>
          <w:numId w:val="20"/>
        </w:numPr>
        <w:spacing w:before="100" w:beforeAutospacing="1" w:after="100" w:afterAutospacing="1" w:line="240" w:lineRule="auto"/>
        <w:rPr>
          <w:rFonts w:eastAsia="Times New Roman" w:cs="Times New Roman"/>
          <w:sz w:val="24"/>
          <w:szCs w:val="24"/>
          <w:lang w:eastAsia="it-IT"/>
        </w:rPr>
      </w:pPr>
      <w:r w:rsidRPr="007239E8">
        <w:rPr>
          <w:rFonts w:eastAsia="Times New Roman" w:cs="Times New Roman"/>
          <w:sz w:val="24"/>
          <w:szCs w:val="24"/>
          <w:lang w:eastAsia="it-IT"/>
        </w:rPr>
        <w:t>Altri valori certi dell’attivo, desunti da elementi contabili o extracontabili dichiarati dall’imprenditore.</w:t>
      </w:r>
    </w:p>
    <w:p w14:paraId="27D250D6" w14:textId="77777777" w:rsidR="00AA1F67" w:rsidRPr="007239E8" w:rsidRDefault="00AA1F67" w:rsidP="00AA1F67">
      <w:pPr>
        <w:spacing w:line="276" w:lineRule="auto"/>
        <w:ind w:left="143" w:right="309" w:firstLine="1268"/>
        <w:jc w:val="both"/>
        <w:rPr>
          <w:b/>
          <w:bCs/>
        </w:rPr>
      </w:pPr>
      <w:r w:rsidRPr="007239E8">
        <w:rPr>
          <w:b/>
          <w:bCs/>
        </w:rPr>
        <w:t>Settori a struttura patrimoniale leggera o digitalizzata</w:t>
      </w:r>
    </w:p>
    <w:p w14:paraId="4A73E301" w14:textId="77777777" w:rsidR="00AA1F67" w:rsidRPr="007239E8" w:rsidRDefault="00AA1F67" w:rsidP="00AA1F67">
      <w:pPr>
        <w:spacing w:line="276" w:lineRule="auto"/>
        <w:ind w:left="143" w:right="309" w:firstLine="1268"/>
        <w:jc w:val="both"/>
      </w:pPr>
      <w:r w:rsidRPr="007239E8">
        <w:t xml:space="preserve">Per le </w:t>
      </w:r>
      <w:r w:rsidRPr="00DB5892">
        <w:rPr>
          <w:i/>
          <w:iCs/>
        </w:rPr>
        <w:t>imprese caratterizzate da assetti organizzativi snelli e digitalizzati</w:t>
      </w:r>
      <w:r w:rsidRPr="007239E8">
        <w:t xml:space="preserve">, il parametro patrimoniale può risultare inadeguato. Nelle realtà ad alta intensità tecnologica o con modelli di business immateriali, l’assenza di beni strumentali in proprietà (spesso acquisiti in leasing o noleggio), di magazzini o di immobilizzazioni patrimonializzate non esclude </w:t>
      </w:r>
      <w:r w:rsidRPr="00122615">
        <w:rPr>
          <w:i/>
          <w:iCs/>
        </w:rPr>
        <w:t>l’esistenza di elevati volumi di ricavi, numerosi dipendenti e complessità gestionali comparabili a quelle delle imprese tradizionali</w:t>
      </w:r>
      <w:r w:rsidRPr="007239E8">
        <w:t>.</w:t>
      </w:r>
    </w:p>
    <w:p w14:paraId="5AD87F38" w14:textId="77777777" w:rsidR="00AA1F67" w:rsidRDefault="00AA1F67" w:rsidP="00AA1F67">
      <w:pPr>
        <w:spacing w:line="276" w:lineRule="auto"/>
        <w:ind w:left="143" w:right="309" w:firstLine="1268"/>
        <w:jc w:val="both"/>
        <w:rPr>
          <w:i/>
          <w:iCs/>
        </w:rPr>
      </w:pPr>
      <w:r w:rsidRPr="007239E8">
        <w:t xml:space="preserve">In tali casi, si propone di </w:t>
      </w:r>
      <w:r w:rsidRPr="007239E8">
        <w:rPr>
          <w:b/>
          <w:bCs/>
        </w:rPr>
        <w:t>applicare una percentuale sull’ammontare dei ricavi</w:t>
      </w:r>
      <w:r w:rsidRPr="007239E8">
        <w:t xml:space="preserve">, in analogia a quanto stabilito dall’art. 3, comma 4, del D.P.R. 177/2015, secondo cui: </w:t>
      </w:r>
      <w:r w:rsidRPr="007239E8">
        <w:rPr>
          <w:i/>
          <w:iCs/>
        </w:rPr>
        <w:t>«Nei casi di cui al comma 1, lettera a), il compenso può essere determinato anche mediante una percentuale sull’ammontare dei ricavi o degli utili conseguiti durante la gestione».</w:t>
      </w:r>
    </w:p>
    <w:p w14:paraId="3F904859" w14:textId="77777777" w:rsidR="00580DF4" w:rsidRPr="007239E8" w:rsidRDefault="00580DF4" w:rsidP="00AA1F67">
      <w:pPr>
        <w:spacing w:line="276" w:lineRule="auto"/>
        <w:ind w:left="143" w:right="309" w:firstLine="1268"/>
        <w:jc w:val="both"/>
      </w:pPr>
    </w:p>
    <w:p w14:paraId="3E9569BA" w14:textId="77777777" w:rsidR="00AA1F67" w:rsidRPr="008B5A53" w:rsidRDefault="00AA1F67" w:rsidP="00AA1F67">
      <w:pPr>
        <w:spacing w:line="276" w:lineRule="auto"/>
        <w:ind w:right="309"/>
        <w:jc w:val="both"/>
        <w:rPr>
          <w:b/>
          <w:bCs/>
        </w:rPr>
      </w:pPr>
      <w:r w:rsidRPr="008B5A53">
        <w:rPr>
          <w:b/>
          <w:bCs/>
        </w:rPr>
        <w:t>Le precisazioni richieste nel corso della riunione del 6 agosto 2025</w:t>
      </w:r>
    </w:p>
    <w:p w14:paraId="0505CB02" w14:textId="7929A05E" w:rsidR="00AA1F67" w:rsidRPr="008B5A53" w:rsidRDefault="00AA1F67" w:rsidP="00AA1F67">
      <w:pPr>
        <w:spacing w:line="276" w:lineRule="auto"/>
        <w:ind w:right="309"/>
        <w:jc w:val="both"/>
        <w:rPr>
          <w:b/>
          <w:bCs/>
        </w:rPr>
      </w:pPr>
      <w:r w:rsidRPr="008B5A53">
        <w:t xml:space="preserve">Il contenuto riportato </w:t>
      </w:r>
      <w:r w:rsidR="00122615">
        <w:t xml:space="preserve">in questo </w:t>
      </w:r>
      <w:r w:rsidR="00122615" w:rsidRPr="008B5A53">
        <w:rPr>
          <w:i/>
          <w:iCs/>
        </w:rPr>
        <w:t xml:space="preserve">documento </w:t>
      </w:r>
      <w:r w:rsidR="00122615" w:rsidRPr="008B5A53">
        <w:t>sostituisce</w:t>
      </w:r>
      <w:r w:rsidRPr="008B5A53">
        <w:t xml:space="preserve"> integralmente quanto inserito alle </w:t>
      </w:r>
      <w:r w:rsidRPr="008B5A53">
        <w:rPr>
          <w:i/>
          <w:iCs/>
        </w:rPr>
        <w:t>pagine 3 e 4 delle Indicazioni operative trasmesse il 30 luglio 2025</w:t>
      </w:r>
      <w:r w:rsidRPr="008B5A53">
        <w:t>.</w:t>
      </w:r>
      <w:r w:rsidR="00B52736" w:rsidRPr="008B5A53">
        <w:t xml:space="preserve"> </w:t>
      </w:r>
      <w:r w:rsidRPr="008B5A53">
        <w:t xml:space="preserve">Il testo aggiornato mantiene la struttura e i principi del documento del 30 luglio, ma </w:t>
      </w:r>
      <w:r w:rsidRPr="008B5A53">
        <w:rPr>
          <w:u w:val="single"/>
        </w:rPr>
        <w:t>incorpora le modifiche e integrazioni condivise e discusse</w:t>
      </w:r>
      <w:r w:rsidRPr="008B5A53">
        <w:t xml:space="preserve"> durante la riunione del </w:t>
      </w:r>
      <w:r w:rsidRPr="008B5A53">
        <w:rPr>
          <w:b/>
          <w:bCs/>
        </w:rPr>
        <w:t>6 agosto 2025.</w:t>
      </w:r>
    </w:p>
    <w:p w14:paraId="4A49B550" w14:textId="77777777" w:rsidR="00AA1F67" w:rsidRPr="008B5A53" w:rsidRDefault="00AA1F67" w:rsidP="00AA1F67">
      <w:pPr>
        <w:spacing w:line="276" w:lineRule="auto"/>
        <w:ind w:right="309"/>
        <w:jc w:val="both"/>
      </w:pPr>
      <w:r w:rsidRPr="008B5A53">
        <w:t xml:space="preserve">Nella parte dedicata ai criteri per la determinazione del valore dell’attivo lordo, l’impostazione è stata resa più chiara e sintetica, facendo riferimento esclusivo a </w:t>
      </w:r>
      <w:r w:rsidRPr="008B5A53">
        <w:rPr>
          <w:b/>
          <w:bCs/>
        </w:rPr>
        <w:t>parametri certi previsti dalla normativa civilistica e fiscale</w:t>
      </w:r>
      <w:r w:rsidRPr="008B5A53">
        <w:t xml:space="preserve"> applicabile alle imprese interessate.</w:t>
      </w:r>
      <w:r w:rsidRPr="008B5A53">
        <w:br/>
        <w:t xml:space="preserve">In particolare, per le </w:t>
      </w:r>
      <w:r w:rsidRPr="008B5A53">
        <w:rPr>
          <w:b/>
          <w:bCs/>
        </w:rPr>
        <w:t>aziende agricole</w:t>
      </w:r>
      <w:r w:rsidRPr="008B5A53">
        <w:t xml:space="preserve">, si è ritenuto opportuno fornire indicazioni più </w:t>
      </w:r>
      <w:r w:rsidRPr="008B5A53">
        <w:lastRenderedPageBreak/>
        <w:t>dettagliate sulle fonti informative utili all’individuazione e alla quantificazione dei beni, così da rendere il valore del complesso aziendale oggettivo e difficilmente contestabile.</w:t>
      </w:r>
    </w:p>
    <w:p w14:paraId="08BD90A3" w14:textId="39C1C68B" w:rsidR="00AA1F67" w:rsidRDefault="00AA1F67" w:rsidP="00AA1F67">
      <w:pPr>
        <w:spacing w:line="276" w:lineRule="auto"/>
        <w:ind w:right="309"/>
        <w:jc w:val="both"/>
        <w:rPr>
          <w:b/>
          <w:bCs/>
        </w:rPr>
      </w:pPr>
      <w:r w:rsidRPr="008B5A53">
        <w:t>Nella seconda parte del documento sono riportati ulteriori suggerimenti</w:t>
      </w:r>
      <w:r w:rsidR="00F56045">
        <w:t>,</w:t>
      </w:r>
      <w:r w:rsidRPr="008B5A53">
        <w:t xml:space="preserve"> derivanti dal confronto dell’ultima riunione, destinati alle Prefetture-UTG. Questi riguardano aspetti operativi di rilievo, come ad esempio la </w:t>
      </w:r>
      <w:r w:rsidRPr="008B5A53">
        <w:rPr>
          <w:b/>
          <w:bCs/>
        </w:rPr>
        <w:t>gestione della nomina dei coadiutori, le modalità di determinazione del compenso e gli strumenti di garanzia per il pagamento tempestivo.</w:t>
      </w:r>
    </w:p>
    <w:p w14:paraId="1223154B" w14:textId="77777777" w:rsidR="00347983" w:rsidRDefault="00347983" w:rsidP="00AA1F67">
      <w:pPr>
        <w:spacing w:line="276" w:lineRule="auto"/>
        <w:ind w:right="309"/>
        <w:jc w:val="both"/>
        <w:rPr>
          <w:b/>
          <w:bCs/>
        </w:rPr>
      </w:pPr>
    </w:p>
    <w:p w14:paraId="3BB81767" w14:textId="77777777" w:rsidR="00347983" w:rsidRPr="00347983" w:rsidRDefault="00347983" w:rsidP="00347983">
      <w:pPr>
        <w:spacing w:line="276" w:lineRule="auto"/>
        <w:ind w:right="309"/>
        <w:jc w:val="both"/>
      </w:pPr>
      <w:r w:rsidRPr="00347983">
        <w:rPr>
          <w:b/>
          <w:bCs/>
        </w:rPr>
        <w:t>Superamento del limite massimo annuo di € 240.000,00</w:t>
      </w:r>
    </w:p>
    <w:p w14:paraId="2066A9CE" w14:textId="778781F8" w:rsidR="00347983" w:rsidRPr="00347983" w:rsidRDefault="00347983" w:rsidP="00347983">
      <w:pPr>
        <w:spacing w:line="276" w:lineRule="auto"/>
        <w:ind w:right="309"/>
        <w:jc w:val="both"/>
        <w:rPr>
          <w:i/>
          <w:iCs/>
        </w:rPr>
      </w:pPr>
      <w:r w:rsidRPr="00347983">
        <w:t>Si osserva, anzitutto, che il richiamo alle Terze Linee Guida ANAC – pur rilevante sotto il profilo metodologico – non può essere applicato in modo automatico al contesto della prevenzione collaborativa. Le differenze sostanziali tra la disciplina di cui all’art. 32 del D.L. 90/2014 e quella prevista dall’art. 94-bis del Codice Antimafia impongono infatti un adattamento calibrato e coerente con le peculiarità della fattispecie.</w:t>
      </w:r>
      <w:r>
        <w:t xml:space="preserve"> </w:t>
      </w:r>
      <w:r w:rsidRPr="00347983">
        <w:t xml:space="preserve"> In tale prospettiva, la previsione di un tetto massimo annuo di € 240.000,00 (seppur riferito al singolo incarico, come indicato all’art. 8 delle Terze Linee Guida ANAC – G.U. n. 26 del 2 febbraio 2016), mutuata dalla disciplina degli incarichi nella pubblica amministrazione, risulta difficilmente compatibile sia con la natura privatistica dell’obbligazione retributiva – interamente a carico dell’impresa – sia con i principi di equo compenso e proporzionalità sanciti dalla legge n. 172/2017. Sul punto, merita richiamo la </w:t>
      </w:r>
      <w:r w:rsidRPr="00C90F69">
        <w:rPr>
          <w:b/>
          <w:bCs/>
        </w:rPr>
        <w:t>sentenza n. 135 del 2025 della Corte costituzionale</w:t>
      </w:r>
      <w:r w:rsidRPr="00347983">
        <w:t>, che ha dichiarato l’illegittimità dell’art. 13, comma 1, del D.L. n. 66/2014 (</w:t>
      </w:r>
      <w:proofErr w:type="spellStart"/>
      <w:r w:rsidRPr="00347983">
        <w:t>conv</w:t>
      </w:r>
      <w:proofErr w:type="spellEnd"/>
      <w:r w:rsidRPr="00347983">
        <w:t xml:space="preserve">. in L. n. 89/2014) nella parte in cui fissava un tetto retributivo onnicomprensivo pari a € 240.000,00, anziché commisurarlo al trattamento economico spettante al Primo Presidente della Corte di Cassazione. </w:t>
      </w:r>
      <w:r w:rsidRPr="00347983">
        <w:rPr>
          <w:i/>
          <w:iCs/>
        </w:rPr>
        <w:t>La Corte ha ribadito che qualsiasi disciplina di contenimento della spesa deve comunque rispettare il principio di proporzionalità e garantire l’autonomia e l’indipendenza delle funzioni, soprattutto quando esercitate in ambiti di rilevante interesse istituzionale.</w:t>
      </w:r>
    </w:p>
    <w:p w14:paraId="6B627722" w14:textId="77777777" w:rsidR="00AA1F67" w:rsidRPr="00347983" w:rsidRDefault="00AA1F67" w:rsidP="00AA1F67">
      <w:pPr>
        <w:spacing w:line="276" w:lineRule="auto"/>
        <w:ind w:right="309"/>
        <w:jc w:val="both"/>
      </w:pPr>
    </w:p>
    <w:p w14:paraId="3B813CDA" w14:textId="77777777" w:rsidR="00AA1F67" w:rsidRDefault="00AA1F67" w:rsidP="00AA1F67">
      <w:pPr>
        <w:spacing w:line="276" w:lineRule="auto"/>
        <w:ind w:right="309"/>
        <w:jc w:val="both"/>
        <w:rPr>
          <w:b/>
          <w:bCs/>
        </w:rPr>
      </w:pPr>
      <w:r w:rsidRPr="00C77A2F">
        <w:rPr>
          <w:b/>
          <w:bCs/>
        </w:rPr>
        <w:t>Nomina di coadiutori e collaboratori dell’esperto</w:t>
      </w:r>
    </w:p>
    <w:p w14:paraId="68084771" w14:textId="77777777" w:rsidR="00AA1F67" w:rsidRDefault="00AA1F67" w:rsidP="00AA1F67">
      <w:pPr>
        <w:spacing w:line="276" w:lineRule="auto"/>
        <w:ind w:right="309"/>
        <w:jc w:val="both"/>
      </w:pPr>
      <w:r w:rsidRPr="00C77A2F">
        <w:t>L’eventuale designazione di un coadiutore può avvenire solo in presenza di motivate esigenze operative, legate allo svolgimento di specifiche attività esecutive affidate dall’esperto.</w:t>
      </w:r>
      <w:r w:rsidRPr="00C77A2F">
        <w:br/>
        <w:t>Se l’esperto desidera impiegare, all’interno della propria organizzazione, collaboratori incaricati di mansioni meramente esecutive, è tenuto a richiedere preventivamente l’autorizzazione alla Prefettura, trasmettendo un elenco con i nominativi e i dati identificativi di ciascuna risorsa.</w:t>
      </w:r>
    </w:p>
    <w:p w14:paraId="20A9A87F" w14:textId="77777777" w:rsidR="00AA1F67" w:rsidRDefault="00AA1F67" w:rsidP="00AA1F67">
      <w:pPr>
        <w:spacing w:line="276" w:lineRule="auto"/>
        <w:ind w:right="309"/>
        <w:jc w:val="both"/>
      </w:pPr>
      <w:r w:rsidRPr="00C77A2F">
        <w:t xml:space="preserve">Nei casi in cui la complessità dell’incarico lo renda necessario, il Prefetto potrà autorizzare la nomina di un coadiutore e, in relazione alle circostanze, decidere se le spese connesse </w:t>
      </w:r>
      <w:r w:rsidRPr="00C77A2F">
        <w:lastRenderedPageBreak/>
        <w:t>debbano essere sostenute dall’esperto, così da evitare ulteriori aggravi economici per l’impresa sottoposta alla misura di prevenzione collaborativa.</w:t>
      </w:r>
    </w:p>
    <w:p w14:paraId="27B1DFF0" w14:textId="77777777" w:rsidR="00AA1F67" w:rsidRDefault="00AA1F67" w:rsidP="00AA1F67">
      <w:pPr>
        <w:spacing w:line="276" w:lineRule="auto"/>
        <w:ind w:right="309"/>
        <w:jc w:val="both"/>
      </w:pPr>
    </w:p>
    <w:p w14:paraId="6DE8BED2" w14:textId="77777777" w:rsidR="00AA1F67" w:rsidRPr="005921F0" w:rsidRDefault="00AA1F67" w:rsidP="00AA1F67">
      <w:pPr>
        <w:spacing w:line="276" w:lineRule="auto"/>
        <w:ind w:right="309"/>
        <w:jc w:val="both"/>
      </w:pPr>
      <w:r w:rsidRPr="005921F0">
        <w:rPr>
          <w:b/>
          <w:bCs/>
        </w:rPr>
        <w:t>Procedure per la determinazione del compenso</w:t>
      </w:r>
    </w:p>
    <w:p w14:paraId="14ED66D1" w14:textId="77777777" w:rsidR="00AA1F67" w:rsidRPr="005921F0" w:rsidRDefault="00AA1F67" w:rsidP="00AA1F67">
      <w:pPr>
        <w:spacing w:line="276" w:lineRule="auto"/>
        <w:ind w:right="309"/>
        <w:jc w:val="both"/>
      </w:pPr>
      <w:r w:rsidRPr="005921F0">
        <w:t>Occorre sottolineare che la stima iniziale del valore del complesso aziendale, svolta dall’esperto indicato per la nomina al fine di consentire al Prefetto di stabilire il compenso già nel decreto di incarico – come previsto dall’art. 94-bis, comma 2, del Codice antimafia – costituisce, da un lato, uno strumento operativo che permette di dare immediata esecuzione alla norma, ma dall’altro presenta non trascurabili difficoltà di carattere tecnico e valutativo.</w:t>
      </w:r>
    </w:p>
    <w:p w14:paraId="728E2262" w14:textId="77777777" w:rsidR="00AA1F67" w:rsidRPr="005921F0" w:rsidRDefault="00AA1F67" w:rsidP="00AA1F67">
      <w:pPr>
        <w:spacing w:line="276" w:lineRule="auto"/>
        <w:ind w:right="309"/>
        <w:jc w:val="both"/>
      </w:pPr>
      <w:r w:rsidRPr="005921F0">
        <w:t xml:space="preserve">La principale criticità risiede nel fatto che tale valutazione viene elaborata in una fase in cui l’esperto non dispone ancora di tutte le informazioni necessarie per conoscere in modo approfondito la realtà aziendale e le eventuali complessità gestionali, le quali emergono progressivamente nel corso dell’attività. Ne deriva, quasi inevitabilmente, </w:t>
      </w:r>
      <w:r w:rsidRPr="005921F0">
        <w:rPr>
          <w:i/>
          <w:iCs/>
        </w:rPr>
        <w:t>uno scostamento tra la stima preventiva e l’effettivo impegno richiesto per l’esecuzione dell’incarico</w:t>
      </w:r>
      <w:r w:rsidRPr="005921F0">
        <w:t>.</w:t>
      </w:r>
    </w:p>
    <w:p w14:paraId="51CA0E39" w14:textId="77777777" w:rsidR="00AA1F67" w:rsidRPr="005921F0" w:rsidRDefault="00AA1F67" w:rsidP="00AA1F67">
      <w:pPr>
        <w:spacing w:line="276" w:lineRule="auto"/>
        <w:ind w:right="309"/>
        <w:jc w:val="both"/>
      </w:pPr>
      <w:r w:rsidRPr="005921F0">
        <w:t xml:space="preserve">Il problema si manifesta in maniera ancora più marcata quando l’impresa </w:t>
      </w:r>
      <w:r w:rsidRPr="00122615">
        <w:rPr>
          <w:b/>
          <w:bCs/>
        </w:rPr>
        <w:t>non dispone di un bilancio di esercizio depositato presso il Registro delle imprese</w:t>
      </w:r>
      <w:r w:rsidRPr="005921F0">
        <w:t>. In questi casi, reperire con urgenza la documentazione contabile può essere complesso, mentre una valutazione accurata della consistenza patrimoniale richiede un’analisi completa delle scritture aziendali.</w:t>
      </w:r>
    </w:p>
    <w:p w14:paraId="4F908E07" w14:textId="77777777" w:rsidR="00AA1F67" w:rsidRDefault="00AA1F67" w:rsidP="00AA1F67">
      <w:pPr>
        <w:spacing w:line="276" w:lineRule="auto"/>
        <w:ind w:right="309"/>
        <w:jc w:val="both"/>
      </w:pPr>
      <w:r w:rsidRPr="005921F0">
        <w:t xml:space="preserve">Per ovviare a tali difficoltà, qualora non sia presente un bilancio depositato, si potrebbe introdurre l’obbligo per l’impresa di mettere a disposizione dell’esperto, </w:t>
      </w:r>
      <w:r w:rsidRPr="005921F0">
        <w:rPr>
          <w:b/>
          <w:bCs/>
        </w:rPr>
        <w:t>entro 30 giorni dalla nomina, le scritture contabili aggiornate</w:t>
      </w:r>
      <w:r w:rsidRPr="005921F0">
        <w:t>, conformemente a quanto previsto dall’art. 2214 c.c.</w:t>
      </w:r>
    </w:p>
    <w:p w14:paraId="33C7E61B" w14:textId="77777777" w:rsidR="00B52736" w:rsidRDefault="00B52736" w:rsidP="00AA1F67">
      <w:pPr>
        <w:spacing w:line="276" w:lineRule="auto"/>
        <w:ind w:right="309"/>
        <w:jc w:val="both"/>
      </w:pPr>
    </w:p>
    <w:p w14:paraId="7357C34D" w14:textId="77777777" w:rsidR="005B7E03" w:rsidRPr="005B7E03" w:rsidRDefault="005B7E03" w:rsidP="005B7E03">
      <w:pPr>
        <w:spacing w:line="276" w:lineRule="auto"/>
        <w:ind w:right="309"/>
        <w:jc w:val="both"/>
      </w:pPr>
      <w:r w:rsidRPr="005B7E03">
        <w:rPr>
          <w:b/>
          <w:bCs/>
        </w:rPr>
        <w:t>Maggiorazioni per il collegio di esperti</w:t>
      </w:r>
    </w:p>
    <w:p w14:paraId="08EC527E" w14:textId="5147414E" w:rsidR="005B7E03" w:rsidRPr="005B7E03" w:rsidRDefault="005B7E03" w:rsidP="005B7E03">
      <w:pPr>
        <w:spacing w:line="276" w:lineRule="auto"/>
        <w:ind w:right="309"/>
        <w:jc w:val="both"/>
        <w:rPr>
          <w:i/>
          <w:iCs/>
        </w:rPr>
      </w:pPr>
      <w:r w:rsidRPr="005B7E03">
        <w:t xml:space="preserve">Nel caso in cui il Prefetto, all’esito di una valutazione approfondita, reputi necessario – in ragione della complessità dell’incarico – nominare un </w:t>
      </w:r>
      <w:r w:rsidRPr="005B7E03">
        <w:rPr>
          <w:b/>
          <w:bCs/>
        </w:rPr>
        <w:t>collegio composto da più esperti</w:t>
      </w:r>
      <w:r w:rsidRPr="005B7E03">
        <w:t xml:space="preserve">, comunque in numero non superiore a tre, si applica, in via analogica, la disciplina di cui all’art. 5 del D.P.R. 177/2015. Tale disposizione consente di incrementare il compenso complessivo spettante al collegio fino a un </w:t>
      </w:r>
      <w:r w:rsidRPr="005B7E03">
        <w:rPr>
          <w:b/>
          <w:bCs/>
        </w:rPr>
        <w:t>massimo del 70%</w:t>
      </w:r>
      <w:r w:rsidRPr="005B7E03">
        <w:t xml:space="preserve"> rispetto a quello previsto per un singolo esperto, calcolato secondo i criteri ordinari. L’importo così determinato dovrà poi </w:t>
      </w:r>
      <w:r w:rsidRPr="005B7E03">
        <w:rPr>
          <w:i/>
          <w:iCs/>
        </w:rPr>
        <w:t>essere ripartito in parti uguali tra i componenti del collegio, salvo che non sia motivatamente stabilita una diversa suddivisione.</w:t>
      </w:r>
    </w:p>
    <w:p w14:paraId="77A57CE7" w14:textId="77777777" w:rsidR="00AA1F67" w:rsidRDefault="00AA1F67" w:rsidP="00AA1F67">
      <w:pPr>
        <w:spacing w:line="276" w:lineRule="auto"/>
        <w:ind w:right="309"/>
        <w:jc w:val="both"/>
      </w:pPr>
    </w:p>
    <w:p w14:paraId="22B5AC5F" w14:textId="77777777" w:rsidR="00AA1F67" w:rsidRDefault="00AA1F67" w:rsidP="00AA1F67">
      <w:pPr>
        <w:spacing w:line="276" w:lineRule="auto"/>
        <w:ind w:right="309"/>
        <w:rPr>
          <w:b/>
          <w:bCs/>
        </w:rPr>
      </w:pPr>
      <w:r>
        <w:rPr>
          <w:b/>
          <w:bCs/>
        </w:rPr>
        <w:lastRenderedPageBreak/>
        <w:t>Deposito cauzionale</w:t>
      </w:r>
    </w:p>
    <w:p w14:paraId="2EA27521" w14:textId="77777777" w:rsidR="00AA1F67" w:rsidRPr="00A405B7" w:rsidRDefault="00AA1F67" w:rsidP="00AA1F67">
      <w:pPr>
        <w:spacing w:line="276" w:lineRule="auto"/>
        <w:ind w:right="309"/>
        <w:jc w:val="both"/>
      </w:pPr>
      <w:r w:rsidRPr="00A405B7">
        <w:t xml:space="preserve">Per garantire il diritto dell’esperto a percepire in tempi congrui la propria retribuzione, si ritiene opportuno che l’impresa, </w:t>
      </w:r>
      <w:r w:rsidRPr="00A405B7">
        <w:rPr>
          <w:b/>
          <w:bCs/>
        </w:rPr>
        <w:t>entro 30 giorni dalla notifica del decreto prefettizio</w:t>
      </w:r>
      <w:r w:rsidRPr="00A405B7">
        <w:t xml:space="preserve">, provveda a costituire un </w:t>
      </w:r>
      <w:r w:rsidRPr="00A405B7">
        <w:rPr>
          <w:b/>
          <w:bCs/>
        </w:rPr>
        <w:t>deposito cauzionale su un conto corrente dedicato</w:t>
      </w:r>
      <w:r w:rsidRPr="00A405B7">
        <w:t xml:space="preserve"> – come previsto dall’art. 94-bis, comma 1, lett. e), del D.lgs. 159/2011 – di importo compreso tra il </w:t>
      </w:r>
      <w:r w:rsidRPr="00122615">
        <w:rPr>
          <w:b/>
          <w:bCs/>
        </w:rPr>
        <w:t>60% e il 70% del compenso stimato</w:t>
      </w:r>
      <w:r w:rsidRPr="00A405B7">
        <w:t>.</w:t>
      </w:r>
    </w:p>
    <w:p w14:paraId="29744ACE" w14:textId="77777777" w:rsidR="00AA1F67" w:rsidRDefault="00AA1F67" w:rsidP="00AA1F67">
      <w:pPr>
        <w:spacing w:line="276" w:lineRule="auto"/>
        <w:ind w:right="309"/>
        <w:jc w:val="both"/>
      </w:pPr>
      <w:r w:rsidRPr="00A405B7">
        <w:t xml:space="preserve">Tale somma, </w:t>
      </w:r>
      <w:r w:rsidRPr="00122615">
        <w:rPr>
          <w:b/>
          <w:bCs/>
        </w:rPr>
        <w:t>da iscrivere nel bilancio aziendale come accantonamento</w:t>
      </w:r>
      <w:r w:rsidRPr="00A405B7">
        <w:t>, ha finalità di garanzia e assicura la disponibilità delle risorse necessarie per il pagamento sia degli acconti sia del saldo conclusivo. In questo modo si tutela l’esperto senza imporre all’impresa un immediato esborso dell’intero importo dovuto.</w:t>
      </w:r>
    </w:p>
    <w:p w14:paraId="6D66962D" w14:textId="77777777" w:rsidR="00AA1F67" w:rsidRDefault="00AA1F67" w:rsidP="00AA1F67">
      <w:pPr>
        <w:spacing w:line="276" w:lineRule="auto"/>
        <w:ind w:right="309"/>
        <w:jc w:val="both"/>
      </w:pPr>
    </w:p>
    <w:p w14:paraId="139C3848" w14:textId="77777777" w:rsidR="00AA1F67" w:rsidRPr="00A405B7" w:rsidRDefault="00AA1F67" w:rsidP="00AA1F67">
      <w:pPr>
        <w:spacing w:line="276" w:lineRule="auto"/>
        <w:ind w:right="309"/>
        <w:jc w:val="both"/>
        <w:rPr>
          <w:b/>
          <w:bCs/>
        </w:rPr>
      </w:pPr>
      <w:r w:rsidRPr="00A405B7">
        <w:rPr>
          <w:b/>
          <w:bCs/>
        </w:rPr>
        <w:t>Acconti</w:t>
      </w:r>
    </w:p>
    <w:p w14:paraId="6B27E66A" w14:textId="77777777" w:rsidR="00AA1F67" w:rsidRDefault="00AA1F67" w:rsidP="00AA1F67">
      <w:pPr>
        <w:spacing w:line="276" w:lineRule="auto"/>
        <w:ind w:right="309"/>
        <w:jc w:val="both"/>
      </w:pPr>
      <w:r w:rsidRPr="00FF4EC9">
        <w:t xml:space="preserve">Il Prefetto, nel decreto di nomina, potrà disporre il pagamento di acconti a intervalli periodici – con </w:t>
      </w:r>
      <w:r w:rsidRPr="00122615">
        <w:rPr>
          <w:b/>
          <w:bCs/>
        </w:rPr>
        <w:t>frequenza trimestrale o quadrimestrale</w:t>
      </w:r>
      <w:r w:rsidRPr="00FF4EC9">
        <w:t xml:space="preserve">, in relazione alla durata dell’incarico – previa presentazione da parte dell’esperto di relazioni intermedie corredate da rendicontazioni analitiche delle attività eseguite. </w:t>
      </w:r>
      <w:r w:rsidRPr="00C90F69">
        <w:rPr>
          <w:i/>
          <w:iCs/>
        </w:rPr>
        <w:t>Questa modalità operativa evita che l’impresa debba sostenere in un’unica soluzione l’intero onere economico alla conclusione della misura</w:t>
      </w:r>
      <w:r w:rsidRPr="00FF4EC9">
        <w:t xml:space="preserve"> e consente, al contempo, un monitoraggio costante sull’avanzamento e sulla qualità dell’attività svolta.</w:t>
      </w:r>
    </w:p>
    <w:p w14:paraId="4F047A05" w14:textId="77777777" w:rsidR="00C90F69" w:rsidRDefault="00C90F69" w:rsidP="00AA1F67">
      <w:pPr>
        <w:spacing w:line="276" w:lineRule="auto"/>
        <w:ind w:right="309"/>
        <w:jc w:val="both"/>
      </w:pPr>
    </w:p>
    <w:p w14:paraId="15B10AF0" w14:textId="77777777" w:rsidR="00974ACD" w:rsidRDefault="00C90F69" w:rsidP="00AA1F67">
      <w:pPr>
        <w:spacing w:line="276" w:lineRule="auto"/>
        <w:ind w:right="309"/>
        <w:jc w:val="both"/>
      </w:pPr>
      <w:r w:rsidRPr="00C90F69">
        <w:rPr>
          <w:b/>
          <w:bCs/>
        </w:rPr>
        <w:t>Alla luce delle precisazioni sopra riportate,</w:t>
      </w:r>
      <w:r w:rsidRPr="00C90F69">
        <w:t xml:space="preserve"> </w:t>
      </w:r>
      <w:r w:rsidRPr="00C90F69">
        <w:rPr>
          <w:b/>
          <w:bCs/>
        </w:rPr>
        <w:t>si evidenzia come</w:t>
      </w:r>
      <w:r>
        <w:rPr>
          <w:b/>
          <w:bCs/>
        </w:rPr>
        <w:t xml:space="preserve"> l</w:t>
      </w:r>
      <w:r w:rsidR="00AA1F67" w:rsidRPr="00122615">
        <w:rPr>
          <w:b/>
          <w:bCs/>
        </w:rPr>
        <w:t>’efficacia della misura di prevenzione collaborativa dipende in maniera diretta dalla preparazione e dall’elevato profilo professionale degli esperti chiamati a svolgere l’incarico</w:t>
      </w:r>
      <w:r w:rsidR="00AA1F67" w:rsidRPr="00FF4EC9">
        <w:t>.</w:t>
      </w:r>
      <w:r w:rsidR="00974ACD">
        <w:t xml:space="preserve"> </w:t>
      </w:r>
    </w:p>
    <w:p w14:paraId="6C4E8ABA" w14:textId="32C048AE" w:rsidR="00AA1F67" w:rsidRDefault="00974ACD" w:rsidP="00AA1F67">
      <w:pPr>
        <w:spacing w:line="276" w:lineRule="auto"/>
        <w:ind w:right="309"/>
        <w:jc w:val="both"/>
      </w:pPr>
      <w:r w:rsidRPr="00FF4EC9">
        <w:t xml:space="preserve"> </w:t>
      </w:r>
      <w:r w:rsidR="00AA1F67" w:rsidRPr="00FF4EC9">
        <w:t xml:space="preserve">Un sistema di compensi che sia </w:t>
      </w:r>
      <w:r w:rsidR="00AA1F67" w:rsidRPr="00122615">
        <w:rPr>
          <w:i/>
          <w:iCs/>
        </w:rPr>
        <w:t>equo, proporzionato e sufficientemente flessibile, modulato in funzione della complessità delle attività e dell’impegno richiesto</w:t>
      </w:r>
      <w:r w:rsidR="00AA1F67" w:rsidRPr="00FF4EC9">
        <w:t>, rappresenta una condizione essenziale per rendere la funzione attrattiva e per favorire la partecipazione di professionisti con competenze di alto livello.</w:t>
      </w:r>
      <w:r w:rsidR="00122615" w:rsidRPr="00FF4EC9">
        <w:t xml:space="preserve"> </w:t>
      </w:r>
      <w:r w:rsidR="00AA1F67" w:rsidRPr="00FF4EC9">
        <w:t>In questa prospettiva, un’applicazione attenta e mirata delle disposizioni del D.P.R. 177/2015, arricchita da criteri di equità, adeguatezza e sostenibilità economica, costituisce la soluzione più efficace per armonizzare le finalità pubbliche dell’intervento prefettizio con la tutela e la dignità del libero esercizio delle professioni intellettuali.</w:t>
      </w:r>
    </w:p>
    <w:p w14:paraId="015A0C57" w14:textId="77777777" w:rsidR="00AA1F67" w:rsidRDefault="00AA1F67" w:rsidP="00AA1F67">
      <w:pPr>
        <w:spacing w:line="276" w:lineRule="auto"/>
        <w:ind w:right="309"/>
        <w:jc w:val="both"/>
      </w:pPr>
      <w:r w:rsidRPr="00FF4EC9">
        <w:t>Resta garantita la piena disponibilità a collaborare per eventuali ulteriori analisi di carattere tecnico-giuridico sui temi affrontati, nonché per l’esame di specifici profili applicativi delle indicazioni operative aggiornate.</w:t>
      </w:r>
      <w:r>
        <w:t xml:space="preserve"> </w:t>
      </w:r>
      <w:r w:rsidRPr="00FF4EC9">
        <w:t xml:space="preserve"> Si offre, inoltre, il supporto per la redazione di eventuali documenti integrativi utili a facilitare l’attuazione concreta delle soluzioni formulate dal </w:t>
      </w:r>
      <w:r w:rsidRPr="00FF4EC9">
        <w:lastRenderedPageBreak/>
        <w:t>Sindacato Nazionale Amministratori Giudiziari e Coadiutori, nell’ambito dell’illustre Gruppo di lavoro interdisciplinare costituito presso il Ministero dell’Interno – Dipartimento per l’Amministrazione Generale, le Politiche del Personale dell’Amministrazione Civile e le Risorse Strumentali e Finanziarie.</w:t>
      </w:r>
    </w:p>
    <w:p w14:paraId="76982930" w14:textId="77777777" w:rsidR="00AA1F67" w:rsidRDefault="00AA1F67" w:rsidP="00AA1F67">
      <w:pPr>
        <w:spacing w:line="276" w:lineRule="auto"/>
        <w:ind w:right="309"/>
        <w:jc w:val="both"/>
      </w:pPr>
    </w:p>
    <w:p w14:paraId="4671107F" w14:textId="77777777" w:rsidR="00AA1F67" w:rsidRDefault="00AA1F67" w:rsidP="00AA1F67">
      <w:pPr>
        <w:spacing w:line="276" w:lineRule="auto"/>
        <w:ind w:right="309"/>
        <w:jc w:val="both"/>
      </w:pPr>
      <w:r>
        <w:t>Roma 8 agosto 2025</w:t>
      </w:r>
    </w:p>
    <w:p w14:paraId="7A92B977" w14:textId="77777777" w:rsidR="00AA1F67" w:rsidRDefault="00AA1F67" w:rsidP="00AA1F67">
      <w:pPr>
        <w:spacing w:line="276" w:lineRule="auto"/>
        <w:ind w:right="309"/>
        <w:jc w:val="both"/>
      </w:pPr>
    </w:p>
    <w:p w14:paraId="4263AF6D" w14:textId="77777777" w:rsidR="00F50269" w:rsidRPr="00031F04" w:rsidRDefault="00F50269" w:rsidP="00F50269">
      <w:pPr>
        <w:spacing w:after="0" w:line="240" w:lineRule="auto"/>
        <w:rPr>
          <w:rStyle w:val="Enfasigrassetto"/>
          <w:rFonts w:ascii="Times New Roman" w:hAnsi="Times New Roman" w:cs="Times New Roman"/>
          <w:b w:val="0"/>
          <w:bCs w:val="0"/>
          <w:sz w:val="23"/>
          <w:szCs w:val="23"/>
        </w:rPr>
      </w:pPr>
      <w:r w:rsidRPr="00031F04">
        <w:rPr>
          <w:rStyle w:val="Enfasigrassetto"/>
          <w:rFonts w:ascii="Times New Roman" w:hAnsi="Times New Roman" w:cs="Times New Roman"/>
          <w:sz w:val="23"/>
          <w:szCs w:val="23"/>
        </w:rPr>
        <w:t xml:space="preserve">Ufficio stampa </w:t>
      </w:r>
    </w:p>
    <w:p w14:paraId="054DB3FB" w14:textId="77777777" w:rsidR="00F50269" w:rsidRPr="00031F04" w:rsidRDefault="00F50269" w:rsidP="00F50269">
      <w:pPr>
        <w:spacing w:after="0" w:line="240" w:lineRule="auto"/>
        <w:rPr>
          <w:rFonts w:ascii="Times New Roman" w:eastAsia="Times New Roman" w:hAnsi="Times New Roman" w:cs="Times New Roman"/>
          <w:b/>
          <w:bCs/>
          <w:sz w:val="24"/>
          <w:szCs w:val="24"/>
          <w:lang w:eastAsia="it-IT"/>
        </w:rPr>
      </w:pPr>
      <w:r w:rsidRPr="00031F04">
        <w:rPr>
          <w:rStyle w:val="Enfasigrassetto"/>
          <w:rFonts w:ascii="Times New Roman" w:hAnsi="Times New Roman" w:cs="Times New Roman"/>
          <w:sz w:val="23"/>
          <w:szCs w:val="23"/>
        </w:rPr>
        <w:t>SI.N.A.G.ECO</w:t>
      </w:r>
    </w:p>
    <w:p w14:paraId="10FE4D53" w14:textId="77777777" w:rsidR="00F50269" w:rsidRPr="00031F04" w:rsidRDefault="00F50269" w:rsidP="00F50269">
      <w:pPr>
        <w:rPr>
          <w:rFonts w:ascii="Times New Roman" w:hAnsi="Times New Roman" w:cs="Times New Roman"/>
          <w:b/>
          <w:bCs/>
        </w:rPr>
      </w:pPr>
    </w:p>
    <w:p w14:paraId="06E911EB" w14:textId="77777777" w:rsidR="00F50269" w:rsidRPr="00031F04" w:rsidRDefault="00F50269" w:rsidP="00F50269">
      <w:pPr>
        <w:pStyle w:val="Paragrafoelenco"/>
        <w:rPr>
          <w:rFonts w:ascii="Times New Roman" w:hAnsi="Times New Roman" w:cs="Times New Roman"/>
          <w:sz w:val="24"/>
          <w:szCs w:val="24"/>
        </w:rPr>
      </w:pPr>
      <w:bookmarkStart w:id="0" w:name="_Hlk197535193"/>
      <w:r w:rsidRPr="00031F04">
        <w:rPr>
          <w:rFonts w:ascii="Times New Roman" w:hAnsi="Times New Roman" w:cs="Times New Roman"/>
          <w:sz w:val="24"/>
          <w:szCs w:val="24"/>
        </w:rPr>
        <w:t>Il Presidente del Consiglio Direttivo</w:t>
      </w:r>
    </w:p>
    <w:p w14:paraId="366110A8" w14:textId="77777777" w:rsidR="00F50269" w:rsidRPr="00031F04" w:rsidRDefault="00F50269" w:rsidP="00F50269">
      <w:pPr>
        <w:pStyle w:val="Paragrafoelenco"/>
        <w:rPr>
          <w:rFonts w:ascii="Times New Roman" w:hAnsi="Times New Roman" w:cs="Times New Roman"/>
          <w:sz w:val="24"/>
          <w:szCs w:val="24"/>
        </w:rPr>
      </w:pPr>
      <w:r w:rsidRPr="00031F04">
        <w:rPr>
          <w:rFonts w:ascii="Times New Roman" w:hAnsi="Times New Roman" w:cs="Times New Roman"/>
          <w:sz w:val="24"/>
          <w:szCs w:val="24"/>
        </w:rPr>
        <w:t>Dr. Giovanni Mottura</w:t>
      </w:r>
    </w:p>
    <w:bookmarkEnd w:id="0"/>
    <w:p w14:paraId="44C8BDEB" w14:textId="77777777" w:rsidR="00F50269" w:rsidRPr="00031F04" w:rsidRDefault="00F50269" w:rsidP="00F50269">
      <w:pPr>
        <w:rPr>
          <w:rFonts w:ascii="Times New Roman" w:hAnsi="Times New Roman" w:cs="Times New Roman"/>
          <w:b/>
          <w:bCs/>
        </w:rPr>
      </w:pPr>
      <w:r w:rsidRPr="00031F04">
        <w:rPr>
          <w:rFonts w:ascii="Times New Roman" w:hAnsi="Times New Roman" w:cs="Times New Roman"/>
          <w:noProof/>
          <w:lang w:eastAsia="it-IT"/>
        </w:rPr>
        <w:drawing>
          <wp:inline distT="0" distB="0" distL="0" distR="0" wp14:anchorId="68AFAD66" wp14:editId="73C2BB12">
            <wp:extent cx="2230806" cy="1009497"/>
            <wp:effectExtent l="0" t="0" r="0" b="635"/>
            <wp:docPr id="2" name="Immagine 2" descr="Immagine che contiene schizzo, disegno, Line art, Arte bambin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schizzo, disegno, Line art, Arte bambini&#10;&#10;Il contenuto generato dall'IA potrebbe non essere corret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2711" cy="1019410"/>
                    </a:xfrm>
                    <a:prstGeom prst="rect">
                      <a:avLst/>
                    </a:prstGeom>
                    <a:noFill/>
                    <a:ln>
                      <a:noFill/>
                    </a:ln>
                  </pic:spPr>
                </pic:pic>
              </a:graphicData>
            </a:graphic>
          </wp:inline>
        </w:drawing>
      </w:r>
    </w:p>
    <w:p w14:paraId="642AC5BF" w14:textId="77777777" w:rsidR="00F50269" w:rsidRPr="00031F04" w:rsidRDefault="00F50269" w:rsidP="00F50269">
      <w:pPr>
        <w:pStyle w:val="Paragrafoelenco"/>
        <w:rPr>
          <w:rFonts w:ascii="Times New Roman" w:hAnsi="Times New Roman" w:cs="Times New Roman"/>
          <w:sz w:val="24"/>
          <w:szCs w:val="24"/>
        </w:rPr>
      </w:pPr>
      <w:r w:rsidRPr="00031F04">
        <w:rPr>
          <w:rFonts w:ascii="Times New Roman" w:hAnsi="Times New Roman" w:cs="Times New Roman"/>
          <w:sz w:val="24"/>
          <w:szCs w:val="24"/>
        </w:rPr>
        <w:t xml:space="preserve">Il </w:t>
      </w:r>
      <w:proofErr w:type="gramStart"/>
      <w:r w:rsidRPr="00031F04">
        <w:rPr>
          <w:rFonts w:ascii="Times New Roman" w:hAnsi="Times New Roman" w:cs="Times New Roman"/>
          <w:sz w:val="24"/>
          <w:szCs w:val="24"/>
        </w:rPr>
        <w:t>Vice Presidente</w:t>
      </w:r>
      <w:proofErr w:type="gramEnd"/>
      <w:r w:rsidRPr="00031F04">
        <w:rPr>
          <w:rFonts w:ascii="Times New Roman" w:hAnsi="Times New Roman" w:cs="Times New Roman"/>
          <w:sz w:val="24"/>
          <w:szCs w:val="24"/>
        </w:rPr>
        <w:t xml:space="preserve"> del Consiglio Direttivo</w:t>
      </w:r>
    </w:p>
    <w:p w14:paraId="57F1275F" w14:textId="77777777" w:rsidR="00F50269" w:rsidRPr="00031F04" w:rsidRDefault="00F50269" w:rsidP="00F50269">
      <w:pPr>
        <w:pStyle w:val="Paragrafoelenco"/>
        <w:rPr>
          <w:rFonts w:ascii="Times New Roman" w:hAnsi="Times New Roman" w:cs="Times New Roman"/>
          <w:sz w:val="24"/>
          <w:szCs w:val="24"/>
        </w:rPr>
      </w:pPr>
      <w:r w:rsidRPr="00031F04">
        <w:rPr>
          <w:rFonts w:ascii="Times New Roman" w:hAnsi="Times New Roman" w:cs="Times New Roman"/>
          <w:sz w:val="24"/>
          <w:szCs w:val="24"/>
        </w:rPr>
        <w:t>Dr. Efrem Romagnoli</w:t>
      </w:r>
    </w:p>
    <w:p w14:paraId="5980526F" w14:textId="77777777" w:rsidR="00F50269" w:rsidRPr="00031F04" w:rsidRDefault="00F50269" w:rsidP="00F50269">
      <w:pPr>
        <w:rPr>
          <w:rFonts w:ascii="Times New Roman" w:hAnsi="Times New Roman" w:cs="Times New Roman"/>
          <w:b/>
          <w:bCs/>
        </w:rPr>
      </w:pPr>
    </w:p>
    <w:p w14:paraId="2AE74DE2" w14:textId="77777777" w:rsidR="00F50269" w:rsidRPr="00031F04" w:rsidRDefault="00F50269" w:rsidP="00F50269">
      <w:pPr>
        <w:rPr>
          <w:rFonts w:ascii="Times New Roman" w:hAnsi="Times New Roman" w:cs="Times New Roman"/>
          <w:b/>
          <w:bCs/>
        </w:rPr>
      </w:pPr>
      <w:r w:rsidRPr="00031F04">
        <w:rPr>
          <w:rFonts w:ascii="Times New Roman" w:hAnsi="Times New Roman" w:cs="Times New Roman"/>
          <w:b/>
          <w:bCs/>
        </w:rPr>
        <w:t xml:space="preserve">               </w:t>
      </w:r>
      <w:r w:rsidRPr="00031F04">
        <w:rPr>
          <w:rFonts w:ascii="Times New Roman" w:hAnsi="Times New Roman" w:cs="Times New Roman"/>
          <w:noProof/>
          <w:lang w:eastAsia="it-IT"/>
        </w:rPr>
        <w:drawing>
          <wp:inline distT="0" distB="0" distL="0" distR="0" wp14:anchorId="1C6B4BB7" wp14:editId="5B446A6B">
            <wp:extent cx="1234436" cy="636423"/>
            <wp:effectExtent l="0" t="0" r="4445" b="0"/>
            <wp:docPr id="7" name="Immagine 5" descr="Immagine che contiene calligrafia, ner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5" descr="Immagine che contiene calligrafia, nero, Carattere, Elementi grafici&#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7923" cy="674310"/>
                    </a:xfrm>
                    <a:prstGeom prst="rect">
                      <a:avLst/>
                    </a:prstGeom>
                    <a:noFill/>
                    <a:ln>
                      <a:noFill/>
                    </a:ln>
                  </pic:spPr>
                </pic:pic>
              </a:graphicData>
            </a:graphic>
          </wp:inline>
        </w:drawing>
      </w:r>
    </w:p>
    <w:p w14:paraId="14D87CD3" w14:textId="6F9BA913" w:rsidR="001A76AF" w:rsidRPr="001A76AF" w:rsidRDefault="001A76AF" w:rsidP="00F50269">
      <w:pPr>
        <w:pStyle w:val="Paragrafoelenco"/>
        <w:rPr>
          <w:rFonts w:ascii="Times New Roman" w:hAnsi="Times New Roman" w:cs="Times New Roman"/>
          <w:sz w:val="24"/>
          <w:szCs w:val="24"/>
        </w:rPr>
      </w:pPr>
      <w:r w:rsidRPr="001A76AF">
        <w:rPr>
          <w:rFonts w:ascii="Times New Roman" w:hAnsi="Times New Roman" w:cs="Times New Roman"/>
          <w:sz w:val="24"/>
          <w:szCs w:val="24"/>
        </w:rPr>
        <w:t>Il Consigliere Nazionale Delegato alla Comunicazione</w:t>
      </w:r>
    </w:p>
    <w:p w14:paraId="4DE24097" w14:textId="471F3F9E" w:rsidR="00F50269" w:rsidRDefault="00F50269" w:rsidP="00F50269">
      <w:pPr>
        <w:pStyle w:val="Paragrafoelenco"/>
        <w:rPr>
          <w:rFonts w:ascii="Times New Roman" w:hAnsi="Times New Roman" w:cs="Times New Roman"/>
          <w:sz w:val="24"/>
          <w:szCs w:val="24"/>
        </w:rPr>
      </w:pPr>
      <w:r w:rsidRPr="00031F04">
        <w:rPr>
          <w:rFonts w:ascii="Times New Roman" w:hAnsi="Times New Roman" w:cs="Times New Roman"/>
          <w:sz w:val="24"/>
          <w:szCs w:val="24"/>
        </w:rPr>
        <w:t>Dr. Avv. Antonio Uva</w:t>
      </w:r>
    </w:p>
    <w:p w14:paraId="7BD4AF4D" w14:textId="77777777" w:rsidR="00F50269" w:rsidRPr="00031F04" w:rsidRDefault="00F50269" w:rsidP="00F50269">
      <w:pPr>
        <w:pStyle w:val="Paragrafoelenco"/>
        <w:rPr>
          <w:rFonts w:ascii="Times New Roman" w:hAnsi="Times New Roman" w:cs="Times New Roman"/>
          <w:sz w:val="24"/>
          <w:szCs w:val="24"/>
        </w:rPr>
      </w:pPr>
    </w:p>
    <w:p w14:paraId="295623FF" w14:textId="77777777" w:rsidR="00F50269" w:rsidRPr="00031F04" w:rsidRDefault="00F50269" w:rsidP="00F50269">
      <w:pPr>
        <w:rPr>
          <w:rFonts w:ascii="Times New Roman" w:hAnsi="Times New Roman" w:cs="Times New Roman"/>
          <w:b/>
          <w:bCs/>
        </w:rPr>
      </w:pPr>
      <w:r w:rsidRPr="00031F04">
        <w:rPr>
          <w:rFonts w:ascii="Times New Roman" w:hAnsi="Times New Roman" w:cs="Times New Roman"/>
          <w:b/>
          <w:bCs/>
        </w:rPr>
        <w:t xml:space="preserve">               </w:t>
      </w:r>
      <w:r w:rsidRPr="00031F04">
        <w:rPr>
          <w:rFonts w:ascii="Times New Roman" w:hAnsi="Times New Roman" w:cs="Times New Roman"/>
          <w:noProof/>
          <w:lang w:eastAsia="it-IT"/>
        </w:rPr>
        <w:drawing>
          <wp:inline distT="0" distB="0" distL="0" distR="0" wp14:anchorId="6AB37AE3" wp14:editId="027E4583">
            <wp:extent cx="855567" cy="516059"/>
            <wp:effectExtent l="0" t="0" r="1683" b="0"/>
            <wp:docPr id="1789885420" name="Immagine 1" descr="Immagine che contiene tipografia, Carattere, calligrafia, handwritten&#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789885420" name="Immagine 1" descr="Immagine che contiene tipografia, Carattere, calligrafia, handwritten&#10;&#10;Il contenuto generato dall'IA potrebbe non essere corretto."/>
                    <pic:cNvPicPr/>
                  </pic:nvPicPr>
                  <pic:blipFill>
                    <a:blip r:embed="rId10"/>
                    <a:srcRect/>
                    <a:stretch>
                      <a:fillRect/>
                    </a:stretch>
                  </pic:blipFill>
                  <pic:spPr>
                    <a:xfrm>
                      <a:off x="0" y="0"/>
                      <a:ext cx="855567" cy="516059"/>
                    </a:xfrm>
                    <a:prstGeom prst="rect">
                      <a:avLst/>
                    </a:prstGeom>
                    <a:noFill/>
                    <a:ln>
                      <a:noFill/>
                      <a:prstDash/>
                    </a:ln>
                  </pic:spPr>
                </pic:pic>
              </a:graphicData>
            </a:graphic>
          </wp:inline>
        </w:drawing>
      </w:r>
    </w:p>
    <w:p w14:paraId="6301D4AD" w14:textId="00D236C6" w:rsidR="002C5C36" w:rsidRPr="00031F04" w:rsidRDefault="002C5C36" w:rsidP="006955E9">
      <w:pPr>
        <w:rPr>
          <w:rFonts w:ascii="Times New Roman" w:hAnsi="Times New Roman" w:cs="Times New Roman"/>
          <w:b/>
          <w:bCs/>
        </w:rPr>
      </w:pPr>
    </w:p>
    <w:sectPr w:rsidR="002C5C36" w:rsidRPr="00031F04">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0701B" w14:textId="77777777" w:rsidR="00B56033" w:rsidRDefault="00B56033" w:rsidP="003903F4">
      <w:pPr>
        <w:spacing w:after="0" w:line="240" w:lineRule="auto"/>
      </w:pPr>
      <w:r>
        <w:separator/>
      </w:r>
    </w:p>
  </w:endnote>
  <w:endnote w:type="continuationSeparator" w:id="0">
    <w:p w14:paraId="0BDA6758" w14:textId="77777777" w:rsidR="00B56033" w:rsidRDefault="00B56033" w:rsidP="0039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279E" w14:textId="77777777" w:rsidR="003903F4" w:rsidRPr="003903F4" w:rsidRDefault="003903F4" w:rsidP="003903F4">
    <w:pPr>
      <w:pStyle w:val="NormaleWeb"/>
      <w:shd w:val="clear" w:color="auto" w:fill="FFFFFF"/>
      <w:spacing w:before="0" w:beforeAutospacing="0" w:after="0" w:afterAutospacing="0"/>
      <w:jc w:val="center"/>
      <w:rPr>
        <w:rFonts w:ascii="Arial" w:hAnsi="Arial" w:cs="Arial"/>
        <w:color w:val="0F4761" w:themeColor="accent1" w:themeShade="BF"/>
        <w:sz w:val="20"/>
        <w:szCs w:val="20"/>
      </w:rPr>
    </w:pPr>
    <w:r w:rsidRPr="003903F4">
      <w:rPr>
        <w:rFonts w:ascii="Arial" w:hAnsi="Arial" w:cs="Arial"/>
        <w:b/>
        <w:bCs/>
        <w:color w:val="0F4761" w:themeColor="accent1" w:themeShade="BF"/>
        <w:sz w:val="20"/>
        <w:szCs w:val="20"/>
      </w:rPr>
      <w:t>SI.N.A.G.ECO</w:t>
    </w:r>
    <w:r w:rsidRPr="003903F4">
      <w:rPr>
        <w:rFonts w:ascii="Arial" w:hAnsi="Arial" w:cs="Arial"/>
        <w:b/>
        <w:bCs/>
        <w:color w:val="0F4761" w:themeColor="accent1" w:themeShade="BF"/>
        <w:sz w:val="20"/>
        <w:szCs w:val="20"/>
      </w:rPr>
      <w:br/>
    </w:r>
    <w:r w:rsidRPr="003903F4">
      <w:rPr>
        <w:rFonts w:ascii="Arial" w:hAnsi="Arial" w:cs="Arial"/>
        <w:color w:val="0F4761" w:themeColor="accent1" w:themeShade="BF"/>
        <w:sz w:val="20"/>
        <w:szCs w:val="20"/>
      </w:rPr>
      <w:t>Sindacato Nazionale Amministratori Giudiziari e Coadiutori</w:t>
    </w:r>
  </w:p>
  <w:p w14:paraId="32EA916C" w14:textId="6B21068C" w:rsidR="003903F4" w:rsidRPr="003903F4" w:rsidRDefault="003903F4" w:rsidP="003903F4">
    <w:pPr>
      <w:pStyle w:val="NormaleWeb"/>
      <w:shd w:val="clear" w:color="auto" w:fill="FFFFFF"/>
      <w:spacing w:before="0" w:beforeAutospacing="0" w:after="0" w:afterAutospacing="0"/>
      <w:jc w:val="center"/>
      <w:rPr>
        <w:rFonts w:ascii="Arial" w:hAnsi="Arial" w:cs="Arial"/>
        <w:sz w:val="20"/>
        <w:szCs w:val="20"/>
      </w:rPr>
    </w:pPr>
    <w:r w:rsidRPr="003903F4">
      <w:rPr>
        <w:rFonts w:ascii="Arial" w:hAnsi="Arial" w:cs="Arial"/>
        <w:color w:val="0F4761" w:themeColor="accent1" w:themeShade="BF"/>
        <w:sz w:val="20"/>
        <w:szCs w:val="20"/>
      </w:rPr>
      <w:t>Via Tirso, 26 – 00198 ROMA</w:t>
    </w:r>
    <w:r w:rsidRPr="003903F4">
      <w:rPr>
        <w:rFonts w:ascii="Arial" w:hAnsi="Arial" w:cs="Arial"/>
        <w:color w:val="0F4761" w:themeColor="accent1" w:themeShade="BF"/>
        <w:sz w:val="20"/>
        <w:szCs w:val="20"/>
      </w:rPr>
      <w:br/>
    </w:r>
    <w:r w:rsidR="004823BF" w:rsidRPr="003903F4">
      <w:rPr>
        <w:rFonts w:ascii="Arial" w:hAnsi="Arial" w:cs="Arial"/>
        <w:color w:val="0F4761" w:themeColor="accent1" w:themeShade="BF"/>
        <w:sz w:val="20"/>
        <w:szCs w:val="20"/>
      </w:rPr>
      <w:t>T +</w:t>
    </w:r>
    <w:r w:rsidRPr="003903F4">
      <w:rPr>
        <w:rFonts w:ascii="Arial" w:hAnsi="Arial" w:cs="Arial"/>
        <w:color w:val="0F4761" w:themeColor="accent1" w:themeShade="BF"/>
        <w:sz w:val="20"/>
        <w:szCs w:val="20"/>
      </w:rPr>
      <w:t xml:space="preserve">39 06 85357821 e </w:t>
    </w:r>
    <w:r w:rsidR="004823BF" w:rsidRPr="003903F4">
      <w:rPr>
        <w:rFonts w:ascii="Arial" w:hAnsi="Arial" w:cs="Arial"/>
        <w:color w:val="0F4761" w:themeColor="accent1" w:themeShade="BF"/>
        <w:sz w:val="20"/>
        <w:szCs w:val="20"/>
      </w:rPr>
      <w:t>Fax +</w:t>
    </w:r>
    <w:r w:rsidRPr="003903F4">
      <w:rPr>
        <w:rFonts w:ascii="Arial" w:hAnsi="Arial" w:cs="Arial"/>
        <w:color w:val="0F4761" w:themeColor="accent1" w:themeShade="BF"/>
        <w:sz w:val="20"/>
        <w:szCs w:val="20"/>
      </w:rPr>
      <w:t>39 0685357849</w:t>
    </w:r>
    <w:r w:rsidRPr="003903F4">
      <w:rPr>
        <w:rFonts w:ascii="Arial" w:hAnsi="Arial" w:cs="Arial"/>
        <w:color w:val="0F4761" w:themeColor="accent1" w:themeShade="BF"/>
        <w:sz w:val="20"/>
        <w:szCs w:val="20"/>
      </w:rPr>
      <w:br/>
      <w:t>C.F.  96489990588</w:t>
    </w:r>
  </w:p>
  <w:p w14:paraId="1C2983C7" w14:textId="77777777" w:rsidR="003903F4" w:rsidRDefault="003903F4">
    <w:pPr>
      <w:pStyle w:val="Pidipagina"/>
      <w:jc w:val="right"/>
    </w:pPr>
    <w:r>
      <w:rPr>
        <w:color w:val="156082" w:themeColor="accent1"/>
        <w:sz w:val="20"/>
        <w:szCs w:val="20"/>
      </w:rPr>
      <w:t xml:space="preserve">pag. </w:t>
    </w:r>
    <w:r>
      <w:rPr>
        <w:color w:val="156082" w:themeColor="accent1"/>
        <w:sz w:val="20"/>
        <w:szCs w:val="20"/>
      </w:rPr>
      <w:fldChar w:fldCharType="begin"/>
    </w:r>
    <w:r>
      <w:rPr>
        <w:color w:val="156082" w:themeColor="accent1"/>
        <w:sz w:val="20"/>
        <w:szCs w:val="20"/>
      </w:rPr>
      <w:instrText>PAGE  \* Arabic</w:instrText>
    </w:r>
    <w:r>
      <w:rPr>
        <w:color w:val="156082" w:themeColor="accent1"/>
        <w:sz w:val="20"/>
        <w:szCs w:val="20"/>
      </w:rPr>
      <w:fldChar w:fldCharType="separate"/>
    </w:r>
    <w:r w:rsidR="00A21A91">
      <w:rPr>
        <w:noProof/>
        <w:color w:val="156082" w:themeColor="accent1"/>
        <w:sz w:val="20"/>
        <w:szCs w:val="20"/>
      </w:rPr>
      <w:t>7</w:t>
    </w:r>
    <w:r>
      <w:rPr>
        <w:color w:val="156082" w:themeColor="accent1"/>
        <w:sz w:val="20"/>
        <w:szCs w:val="20"/>
      </w:rPr>
      <w:fldChar w:fldCharType="end"/>
    </w:r>
  </w:p>
  <w:p w14:paraId="1C98428C" w14:textId="77777777" w:rsidR="003903F4" w:rsidRDefault="003903F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53057" w14:textId="77777777" w:rsidR="00B56033" w:rsidRDefault="00B56033" w:rsidP="003903F4">
      <w:pPr>
        <w:spacing w:after="0" w:line="240" w:lineRule="auto"/>
      </w:pPr>
      <w:r>
        <w:separator/>
      </w:r>
    </w:p>
  </w:footnote>
  <w:footnote w:type="continuationSeparator" w:id="0">
    <w:p w14:paraId="43AE3795" w14:textId="77777777" w:rsidR="00B56033" w:rsidRDefault="00B56033" w:rsidP="00390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6EC8" w14:textId="4FC0F811" w:rsidR="003903F4" w:rsidRDefault="003903F4" w:rsidP="003903F4">
    <w:pPr>
      <w:pStyle w:val="Intestazione"/>
      <w:jc w:val="center"/>
    </w:pPr>
    <w:r>
      <w:rPr>
        <w:noProof/>
        <w:lang w:eastAsia="it-IT"/>
      </w:rPr>
      <w:drawing>
        <wp:inline distT="0" distB="0" distL="0" distR="0" wp14:anchorId="0BEAFDAD" wp14:editId="73DACA6B">
          <wp:extent cx="1080084" cy="779071"/>
          <wp:effectExtent l="0" t="0" r="6350" b="254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8022" cy="799223"/>
                  </a:xfrm>
                  <a:prstGeom prst="rect">
                    <a:avLst/>
                  </a:prstGeom>
                  <a:noFill/>
                  <a:ln>
                    <a:noFill/>
                  </a:ln>
                </pic:spPr>
              </pic:pic>
            </a:graphicData>
          </a:graphic>
        </wp:inline>
      </w:drawing>
    </w:r>
  </w:p>
  <w:p w14:paraId="6CE0F791" w14:textId="77777777" w:rsidR="003903F4" w:rsidRDefault="003903F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44" style="width:0;height:1.5pt" o:hralign="center" o:bullet="t" o:hrstd="t" o:hr="t" fillcolor="#a0a0a0" stroked="f"/>
    </w:pict>
  </w:numPicBullet>
  <w:abstractNum w:abstractNumId="0" w15:restartNumberingAfterBreak="0">
    <w:nsid w:val="00CD5929"/>
    <w:multiLevelType w:val="multilevel"/>
    <w:tmpl w:val="94CA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F101A"/>
    <w:multiLevelType w:val="multilevel"/>
    <w:tmpl w:val="B712A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95BF2"/>
    <w:multiLevelType w:val="multilevel"/>
    <w:tmpl w:val="2EAE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803AA"/>
    <w:multiLevelType w:val="multilevel"/>
    <w:tmpl w:val="8E4C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107021"/>
    <w:multiLevelType w:val="multilevel"/>
    <w:tmpl w:val="D12A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40BD0"/>
    <w:multiLevelType w:val="multilevel"/>
    <w:tmpl w:val="B632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55947"/>
    <w:multiLevelType w:val="multilevel"/>
    <w:tmpl w:val="9C54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7532C6"/>
    <w:multiLevelType w:val="multilevel"/>
    <w:tmpl w:val="02FA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F3E98"/>
    <w:multiLevelType w:val="multilevel"/>
    <w:tmpl w:val="42B46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C42AB1"/>
    <w:multiLevelType w:val="multilevel"/>
    <w:tmpl w:val="E54A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377645"/>
    <w:multiLevelType w:val="multilevel"/>
    <w:tmpl w:val="EE5E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EF5ACC"/>
    <w:multiLevelType w:val="multilevel"/>
    <w:tmpl w:val="2ABE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2B0CAD"/>
    <w:multiLevelType w:val="multilevel"/>
    <w:tmpl w:val="EA7A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637395"/>
    <w:multiLevelType w:val="multilevel"/>
    <w:tmpl w:val="C2F6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4586C"/>
    <w:multiLevelType w:val="multilevel"/>
    <w:tmpl w:val="05B0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A86527"/>
    <w:multiLevelType w:val="multilevel"/>
    <w:tmpl w:val="ABC4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E3AE0"/>
    <w:multiLevelType w:val="multilevel"/>
    <w:tmpl w:val="B8E0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5925ED"/>
    <w:multiLevelType w:val="multilevel"/>
    <w:tmpl w:val="6084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7541C0"/>
    <w:multiLevelType w:val="multilevel"/>
    <w:tmpl w:val="30E0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1630BF"/>
    <w:multiLevelType w:val="multilevel"/>
    <w:tmpl w:val="7E6C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338711">
    <w:abstractNumId w:val="19"/>
  </w:num>
  <w:num w:numId="2" w16cid:durableId="86849817">
    <w:abstractNumId w:val="18"/>
  </w:num>
  <w:num w:numId="3" w16cid:durableId="841746425">
    <w:abstractNumId w:val="4"/>
  </w:num>
  <w:num w:numId="4" w16cid:durableId="1707873741">
    <w:abstractNumId w:val="5"/>
  </w:num>
  <w:num w:numId="5" w16cid:durableId="1707833007">
    <w:abstractNumId w:val="15"/>
  </w:num>
  <w:num w:numId="6" w16cid:durableId="465396000">
    <w:abstractNumId w:val="12"/>
  </w:num>
  <w:num w:numId="7" w16cid:durableId="952858897">
    <w:abstractNumId w:val="14"/>
  </w:num>
  <w:num w:numId="8" w16cid:durableId="1203862440">
    <w:abstractNumId w:val="17"/>
  </w:num>
  <w:num w:numId="9" w16cid:durableId="1798528560">
    <w:abstractNumId w:val="11"/>
  </w:num>
  <w:num w:numId="10" w16cid:durableId="1820685652">
    <w:abstractNumId w:val="0"/>
  </w:num>
  <w:num w:numId="11" w16cid:durableId="537549415">
    <w:abstractNumId w:val="8"/>
  </w:num>
  <w:num w:numId="12" w16cid:durableId="1536111776">
    <w:abstractNumId w:val="1"/>
  </w:num>
  <w:num w:numId="13" w16cid:durableId="1322469199">
    <w:abstractNumId w:val="9"/>
  </w:num>
  <w:num w:numId="14" w16cid:durableId="1447232517">
    <w:abstractNumId w:val="10"/>
  </w:num>
  <w:num w:numId="15" w16cid:durableId="1625306806">
    <w:abstractNumId w:val="3"/>
  </w:num>
  <w:num w:numId="16" w16cid:durableId="1061174941">
    <w:abstractNumId w:val="7"/>
  </w:num>
  <w:num w:numId="17" w16cid:durableId="520361940">
    <w:abstractNumId w:val="13"/>
  </w:num>
  <w:num w:numId="18" w16cid:durableId="1626081613">
    <w:abstractNumId w:val="16"/>
  </w:num>
  <w:num w:numId="19" w16cid:durableId="1418483130">
    <w:abstractNumId w:val="2"/>
  </w:num>
  <w:num w:numId="20" w16cid:durableId="10283324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DC7"/>
    <w:rsid w:val="00023605"/>
    <w:rsid w:val="00031F04"/>
    <w:rsid w:val="000367D9"/>
    <w:rsid w:val="0005474C"/>
    <w:rsid w:val="00066CBC"/>
    <w:rsid w:val="000811D3"/>
    <w:rsid w:val="00083B5D"/>
    <w:rsid w:val="00090F61"/>
    <w:rsid w:val="000911F7"/>
    <w:rsid w:val="000A3255"/>
    <w:rsid w:val="000A71CE"/>
    <w:rsid w:val="000B3D84"/>
    <w:rsid w:val="000D4663"/>
    <w:rsid w:val="000D6C06"/>
    <w:rsid w:val="000E3D94"/>
    <w:rsid w:val="000E49CE"/>
    <w:rsid w:val="000F4FFC"/>
    <w:rsid w:val="00117049"/>
    <w:rsid w:val="00122615"/>
    <w:rsid w:val="00125E46"/>
    <w:rsid w:val="00196618"/>
    <w:rsid w:val="001A6813"/>
    <w:rsid w:val="001A76AF"/>
    <w:rsid w:val="001B0DC7"/>
    <w:rsid w:val="001E36E1"/>
    <w:rsid w:val="002104A6"/>
    <w:rsid w:val="00213F72"/>
    <w:rsid w:val="002412D9"/>
    <w:rsid w:val="00243723"/>
    <w:rsid w:val="00257482"/>
    <w:rsid w:val="0026733A"/>
    <w:rsid w:val="0028528A"/>
    <w:rsid w:val="002856A5"/>
    <w:rsid w:val="002A6573"/>
    <w:rsid w:val="002C15A8"/>
    <w:rsid w:val="002C5C36"/>
    <w:rsid w:val="002E31BB"/>
    <w:rsid w:val="00324368"/>
    <w:rsid w:val="003314C2"/>
    <w:rsid w:val="0033491B"/>
    <w:rsid w:val="00347983"/>
    <w:rsid w:val="0037701A"/>
    <w:rsid w:val="0038730A"/>
    <w:rsid w:val="003903F4"/>
    <w:rsid w:val="0039196B"/>
    <w:rsid w:val="003A256A"/>
    <w:rsid w:val="003B64E3"/>
    <w:rsid w:val="003C1D32"/>
    <w:rsid w:val="003E03C4"/>
    <w:rsid w:val="003E0D8F"/>
    <w:rsid w:val="00402329"/>
    <w:rsid w:val="00473B97"/>
    <w:rsid w:val="004823BF"/>
    <w:rsid w:val="0048376C"/>
    <w:rsid w:val="004A1C37"/>
    <w:rsid w:val="004C63C0"/>
    <w:rsid w:val="004C75AF"/>
    <w:rsid w:val="004D2FF2"/>
    <w:rsid w:val="004D3D26"/>
    <w:rsid w:val="00503BEA"/>
    <w:rsid w:val="00507CBA"/>
    <w:rsid w:val="0054391C"/>
    <w:rsid w:val="005464F4"/>
    <w:rsid w:val="0055271F"/>
    <w:rsid w:val="005560E5"/>
    <w:rsid w:val="00580684"/>
    <w:rsid w:val="00580DF4"/>
    <w:rsid w:val="00592D26"/>
    <w:rsid w:val="005A3FFD"/>
    <w:rsid w:val="005B7E03"/>
    <w:rsid w:val="005D4C06"/>
    <w:rsid w:val="005E57F1"/>
    <w:rsid w:val="005F617D"/>
    <w:rsid w:val="006406E4"/>
    <w:rsid w:val="00662B1F"/>
    <w:rsid w:val="0068680A"/>
    <w:rsid w:val="00695208"/>
    <w:rsid w:val="006955E9"/>
    <w:rsid w:val="00696CCD"/>
    <w:rsid w:val="006C5E6E"/>
    <w:rsid w:val="006D2B5A"/>
    <w:rsid w:val="006D7701"/>
    <w:rsid w:val="006E5C44"/>
    <w:rsid w:val="006F7D2A"/>
    <w:rsid w:val="0070137B"/>
    <w:rsid w:val="00721D3F"/>
    <w:rsid w:val="00747F76"/>
    <w:rsid w:val="007552B5"/>
    <w:rsid w:val="00756CEA"/>
    <w:rsid w:val="007942D5"/>
    <w:rsid w:val="007A0348"/>
    <w:rsid w:val="007A7D8A"/>
    <w:rsid w:val="007C4E90"/>
    <w:rsid w:val="00837664"/>
    <w:rsid w:val="008419D3"/>
    <w:rsid w:val="008A08FF"/>
    <w:rsid w:val="008C762D"/>
    <w:rsid w:val="008E322B"/>
    <w:rsid w:val="00906698"/>
    <w:rsid w:val="00907C25"/>
    <w:rsid w:val="00923162"/>
    <w:rsid w:val="00924544"/>
    <w:rsid w:val="009250D2"/>
    <w:rsid w:val="009327A6"/>
    <w:rsid w:val="00935233"/>
    <w:rsid w:val="009556C3"/>
    <w:rsid w:val="0097086D"/>
    <w:rsid w:val="009737EB"/>
    <w:rsid w:val="00974ACD"/>
    <w:rsid w:val="00983CF9"/>
    <w:rsid w:val="009D391E"/>
    <w:rsid w:val="009D6182"/>
    <w:rsid w:val="00A21A91"/>
    <w:rsid w:val="00A23C30"/>
    <w:rsid w:val="00A35927"/>
    <w:rsid w:val="00A633B8"/>
    <w:rsid w:val="00A91939"/>
    <w:rsid w:val="00AA1F67"/>
    <w:rsid w:val="00AC3E93"/>
    <w:rsid w:val="00AC6254"/>
    <w:rsid w:val="00AD0527"/>
    <w:rsid w:val="00AD692A"/>
    <w:rsid w:val="00AE145F"/>
    <w:rsid w:val="00AE153C"/>
    <w:rsid w:val="00AE4C70"/>
    <w:rsid w:val="00AF5531"/>
    <w:rsid w:val="00B12BDA"/>
    <w:rsid w:val="00B176C1"/>
    <w:rsid w:val="00B507CE"/>
    <w:rsid w:val="00B52736"/>
    <w:rsid w:val="00B56033"/>
    <w:rsid w:val="00B67E49"/>
    <w:rsid w:val="00B71CAD"/>
    <w:rsid w:val="00B86A09"/>
    <w:rsid w:val="00B95845"/>
    <w:rsid w:val="00B95BE9"/>
    <w:rsid w:val="00BB4E41"/>
    <w:rsid w:val="00C10145"/>
    <w:rsid w:val="00C351AF"/>
    <w:rsid w:val="00C71E57"/>
    <w:rsid w:val="00C833B2"/>
    <w:rsid w:val="00C90F69"/>
    <w:rsid w:val="00CB2C5B"/>
    <w:rsid w:val="00CB72E6"/>
    <w:rsid w:val="00CB7F6B"/>
    <w:rsid w:val="00CD3423"/>
    <w:rsid w:val="00CE0567"/>
    <w:rsid w:val="00CE5CE1"/>
    <w:rsid w:val="00D109AF"/>
    <w:rsid w:val="00D413BD"/>
    <w:rsid w:val="00D43F56"/>
    <w:rsid w:val="00D46A7F"/>
    <w:rsid w:val="00D54B01"/>
    <w:rsid w:val="00D6144E"/>
    <w:rsid w:val="00D66ACB"/>
    <w:rsid w:val="00D91F13"/>
    <w:rsid w:val="00DB5892"/>
    <w:rsid w:val="00DC3A6F"/>
    <w:rsid w:val="00DC662E"/>
    <w:rsid w:val="00DE21AA"/>
    <w:rsid w:val="00DE56A8"/>
    <w:rsid w:val="00E16C44"/>
    <w:rsid w:val="00E220BD"/>
    <w:rsid w:val="00E35F72"/>
    <w:rsid w:val="00E41295"/>
    <w:rsid w:val="00E5069C"/>
    <w:rsid w:val="00E57E98"/>
    <w:rsid w:val="00E60307"/>
    <w:rsid w:val="00E614AD"/>
    <w:rsid w:val="00E6303D"/>
    <w:rsid w:val="00E8121E"/>
    <w:rsid w:val="00E93DE6"/>
    <w:rsid w:val="00EA0A01"/>
    <w:rsid w:val="00EA7608"/>
    <w:rsid w:val="00EB0AAF"/>
    <w:rsid w:val="00EE14CB"/>
    <w:rsid w:val="00F17617"/>
    <w:rsid w:val="00F323D4"/>
    <w:rsid w:val="00F50269"/>
    <w:rsid w:val="00F56045"/>
    <w:rsid w:val="00F819AD"/>
    <w:rsid w:val="00FB4FBA"/>
    <w:rsid w:val="00FC0F0C"/>
    <w:rsid w:val="00FC3902"/>
    <w:rsid w:val="00FE6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2F6E"/>
  <w15:chartTrackingRefBased/>
  <w15:docId w15:val="{2955D001-652C-4DD8-ABBA-11883C4AC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955E9"/>
  </w:style>
  <w:style w:type="paragraph" w:styleId="Titolo1">
    <w:name w:val="heading 1"/>
    <w:basedOn w:val="Normale"/>
    <w:next w:val="Normale"/>
    <w:link w:val="Titolo1Carattere"/>
    <w:uiPriority w:val="9"/>
    <w:qFormat/>
    <w:rsid w:val="001B0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B0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1B0DC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B0DC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B0DC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B0DC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B0DC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B0DC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B0DC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0DC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B0DC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1B0DC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B0DC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B0DC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B0DC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B0DC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B0DC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B0DC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B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B0DC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B0DC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B0DC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B0DC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B0DC7"/>
    <w:rPr>
      <w:i/>
      <w:iCs/>
      <w:color w:val="404040" w:themeColor="text1" w:themeTint="BF"/>
    </w:rPr>
  </w:style>
  <w:style w:type="paragraph" w:styleId="Paragrafoelenco">
    <w:name w:val="List Paragraph"/>
    <w:basedOn w:val="Normale"/>
    <w:uiPriority w:val="34"/>
    <w:qFormat/>
    <w:rsid w:val="001B0DC7"/>
    <w:pPr>
      <w:ind w:left="720"/>
      <w:contextualSpacing/>
    </w:pPr>
  </w:style>
  <w:style w:type="character" w:styleId="Enfasiintensa">
    <w:name w:val="Intense Emphasis"/>
    <w:basedOn w:val="Carpredefinitoparagrafo"/>
    <w:uiPriority w:val="21"/>
    <w:qFormat/>
    <w:rsid w:val="001B0DC7"/>
    <w:rPr>
      <w:i/>
      <w:iCs/>
      <w:color w:val="0F4761" w:themeColor="accent1" w:themeShade="BF"/>
    </w:rPr>
  </w:style>
  <w:style w:type="paragraph" w:styleId="Citazioneintensa">
    <w:name w:val="Intense Quote"/>
    <w:basedOn w:val="Normale"/>
    <w:next w:val="Normale"/>
    <w:link w:val="CitazioneintensaCarattere"/>
    <w:uiPriority w:val="30"/>
    <w:qFormat/>
    <w:rsid w:val="001B0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B0DC7"/>
    <w:rPr>
      <w:i/>
      <w:iCs/>
      <w:color w:val="0F4761" w:themeColor="accent1" w:themeShade="BF"/>
    </w:rPr>
  </w:style>
  <w:style w:type="character" w:styleId="Riferimentointenso">
    <w:name w:val="Intense Reference"/>
    <w:basedOn w:val="Carpredefinitoparagrafo"/>
    <w:uiPriority w:val="32"/>
    <w:qFormat/>
    <w:rsid w:val="001B0DC7"/>
    <w:rPr>
      <w:b/>
      <w:bCs/>
      <w:smallCaps/>
      <w:color w:val="0F4761" w:themeColor="accent1" w:themeShade="BF"/>
      <w:spacing w:val="5"/>
    </w:rPr>
  </w:style>
  <w:style w:type="character" w:styleId="Enfasigrassetto">
    <w:name w:val="Strong"/>
    <w:basedOn w:val="Carpredefinitoparagrafo"/>
    <w:uiPriority w:val="22"/>
    <w:qFormat/>
    <w:rsid w:val="00F17617"/>
    <w:rPr>
      <w:b/>
      <w:bCs/>
    </w:rPr>
  </w:style>
  <w:style w:type="paragraph" w:styleId="Intestazione">
    <w:name w:val="header"/>
    <w:basedOn w:val="Normale"/>
    <w:link w:val="IntestazioneCarattere"/>
    <w:uiPriority w:val="99"/>
    <w:unhideWhenUsed/>
    <w:rsid w:val="003903F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3903F4"/>
  </w:style>
  <w:style w:type="paragraph" w:styleId="Pidipagina">
    <w:name w:val="footer"/>
    <w:basedOn w:val="Normale"/>
    <w:link w:val="PidipaginaCarattere"/>
    <w:uiPriority w:val="99"/>
    <w:unhideWhenUsed/>
    <w:rsid w:val="003903F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3903F4"/>
  </w:style>
  <w:style w:type="paragraph" w:styleId="NormaleWeb">
    <w:name w:val="Normal (Web)"/>
    <w:basedOn w:val="Normale"/>
    <w:uiPriority w:val="99"/>
    <w:unhideWhenUsed/>
    <w:rsid w:val="003903F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evisione">
    <w:name w:val="Revision"/>
    <w:hidden/>
    <w:uiPriority w:val="99"/>
    <w:semiHidden/>
    <w:rsid w:val="001E36E1"/>
    <w:pPr>
      <w:spacing w:after="0" w:line="240" w:lineRule="auto"/>
    </w:pPr>
  </w:style>
  <w:style w:type="paragraph" w:styleId="Testofumetto">
    <w:name w:val="Balloon Text"/>
    <w:basedOn w:val="Normale"/>
    <w:link w:val="TestofumettoCarattere"/>
    <w:uiPriority w:val="99"/>
    <w:semiHidden/>
    <w:unhideWhenUsed/>
    <w:rsid w:val="0005474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5474C"/>
    <w:rPr>
      <w:rFonts w:ascii="Segoe UI" w:hAnsi="Segoe UI" w:cs="Segoe UI"/>
      <w:sz w:val="18"/>
      <w:szCs w:val="18"/>
    </w:rPr>
  </w:style>
  <w:style w:type="character" w:styleId="Rimandocommento">
    <w:name w:val="annotation reference"/>
    <w:basedOn w:val="Carpredefinitoparagrafo"/>
    <w:uiPriority w:val="99"/>
    <w:semiHidden/>
    <w:unhideWhenUsed/>
    <w:rsid w:val="00324368"/>
    <w:rPr>
      <w:sz w:val="16"/>
      <w:szCs w:val="16"/>
    </w:rPr>
  </w:style>
  <w:style w:type="paragraph" w:styleId="Testocommento">
    <w:name w:val="annotation text"/>
    <w:basedOn w:val="Normale"/>
    <w:link w:val="TestocommentoCarattere"/>
    <w:uiPriority w:val="99"/>
    <w:unhideWhenUsed/>
    <w:rsid w:val="00324368"/>
    <w:pPr>
      <w:spacing w:line="240" w:lineRule="auto"/>
    </w:pPr>
    <w:rPr>
      <w:sz w:val="20"/>
      <w:szCs w:val="20"/>
    </w:rPr>
  </w:style>
  <w:style w:type="character" w:customStyle="1" w:styleId="TestocommentoCarattere">
    <w:name w:val="Testo commento Carattere"/>
    <w:basedOn w:val="Carpredefinitoparagrafo"/>
    <w:link w:val="Testocommento"/>
    <w:uiPriority w:val="99"/>
    <w:rsid w:val="00324368"/>
    <w:rPr>
      <w:sz w:val="20"/>
      <w:szCs w:val="20"/>
    </w:rPr>
  </w:style>
  <w:style w:type="paragraph" w:styleId="Soggettocommento">
    <w:name w:val="annotation subject"/>
    <w:basedOn w:val="Testocommento"/>
    <w:next w:val="Testocommento"/>
    <w:link w:val="SoggettocommentoCarattere"/>
    <w:uiPriority w:val="99"/>
    <w:semiHidden/>
    <w:unhideWhenUsed/>
    <w:rsid w:val="00324368"/>
    <w:rPr>
      <w:b/>
      <w:bCs/>
    </w:rPr>
  </w:style>
  <w:style w:type="character" w:customStyle="1" w:styleId="SoggettocommentoCarattere">
    <w:name w:val="Soggetto commento Carattere"/>
    <w:basedOn w:val="TestocommentoCarattere"/>
    <w:link w:val="Soggettocommento"/>
    <w:uiPriority w:val="99"/>
    <w:semiHidden/>
    <w:rsid w:val="00324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676">
      <w:bodyDiv w:val="1"/>
      <w:marLeft w:val="0"/>
      <w:marRight w:val="0"/>
      <w:marTop w:val="0"/>
      <w:marBottom w:val="0"/>
      <w:divBdr>
        <w:top w:val="none" w:sz="0" w:space="0" w:color="auto"/>
        <w:left w:val="none" w:sz="0" w:space="0" w:color="auto"/>
        <w:bottom w:val="none" w:sz="0" w:space="0" w:color="auto"/>
        <w:right w:val="none" w:sz="0" w:space="0" w:color="auto"/>
      </w:divBdr>
    </w:div>
    <w:div w:id="100154189">
      <w:bodyDiv w:val="1"/>
      <w:marLeft w:val="0"/>
      <w:marRight w:val="0"/>
      <w:marTop w:val="0"/>
      <w:marBottom w:val="0"/>
      <w:divBdr>
        <w:top w:val="none" w:sz="0" w:space="0" w:color="auto"/>
        <w:left w:val="none" w:sz="0" w:space="0" w:color="auto"/>
        <w:bottom w:val="none" w:sz="0" w:space="0" w:color="auto"/>
        <w:right w:val="none" w:sz="0" w:space="0" w:color="auto"/>
      </w:divBdr>
    </w:div>
    <w:div w:id="129056431">
      <w:bodyDiv w:val="1"/>
      <w:marLeft w:val="0"/>
      <w:marRight w:val="0"/>
      <w:marTop w:val="0"/>
      <w:marBottom w:val="0"/>
      <w:divBdr>
        <w:top w:val="none" w:sz="0" w:space="0" w:color="auto"/>
        <w:left w:val="none" w:sz="0" w:space="0" w:color="auto"/>
        <w:bottom w:val="none" w:sz="0" w:space="0" w:color="auto"/>
        <w:right w:val="none" w:sz="0" w:space="0" w:color="auto"/>
      </w:divBdr>
    </w:div>
    <w:div w:id="130446023">
      <w:bodyDiv w:val="1"/>
      <w:marLeft w:val="0"/>
      <w:marRight w:val="0"/>
      <w:marTop w:val="0"/>
      <w:marBottom w:val="0"/>
      <w:divBdr>
        <w:top w:val="none" w:sz="0" w:space="0" w:color="auto"/>
        <w:left w:val="none" w:sz="0" w:space="0" w:color="auto"/>
        <w:bottom w:val="none" w:sz="0" w:space="0" w:color="auto"/>
        <w:right w:val="none" w:sz="0" w:space="0" w:color="auto"/>
      </w:divBdr>
    </w:div>
    <w:div w:id="310335759">
      <w:bodyDiv w:val="1"/>
      <w:marLeft w:val="0"/>
      <w:marRight w:val="0"/>
      <w:marTop w:val="0"/>
      <w:marBottom w:val="0"/>
      <w:divBdr>
        <w:top w:val="none" w:sz="0" w:space="0" w:color="auto"/>
        <w:left w:val="none" w:sz="0" w:space="0" w:color="auto"/>
        <w:bottom w:val="none" w:sz="0" w:space="0" w:color="auto"/>
        <w:right w:val="none" w:sz="0" w:space="0" w:color="auto"/>
      </w:divBdr>
    </w:div>
    <w:div w:id="329597946">
      <w:bodyDiv w:val="1"/>
      <w:marLeft w:val="0"/>
      <w:marRight w:val="0"/>
      <w:marTop w:val="0"/>
      <w:marBottom w:val="0"/>
      <w:divBdr>
        <w:top w:val="none" w:sz="0" w:space="0" w:color="auto"/>
        <w:left w:val="none" w:sz="0" w:space="0" w:color="auto"/>
        <w:bottom w:val="none" w:sz="0" w:space="0" w:color="auto"/>
        <w:right w:val="none" w:sz="0" w:space="0" w:color="auto"/>
      </w:divBdr>
    </w:div>
    <w:div w:id="360479732">
      <w:bodyDiv w:val="1"/>
      <w:marLeft w:val="0"/>
      <w:marRight w:val="0"/>
      <w:marTop w:val="0"/>
      <w:marBottom w:val="0"/>
      <w:divBdr>
        <w:top w:val="none" w:sz="0" w:space="0" w:color="auto"/>
        <w:left w:val="none" w:sz="0" w:space="0" w:color="auto"/>
        <w:bottom w:val="none" w:sz="0" w:space="0" w:color="auto"/>
        <w:right w:val="none" w:sz="0" w:space="0" w:color="auto"/>
      </w:divBdr>
    </w:div>
    <w:div w:id="364793035">
      <w:bodyDiv w:val="1"/>
      <w:marLeft w:val="0"/>
      <w:marRight w:val="0"/>
      <w:marTop w:val="0"/>
      <w:marBottom w:val="0"/>
      <w:divBdr>
        <w:top w:val="none" w:sz="0" w:space="0" w:color="auto"/>
        <w:left w:val="none" w:sz="0" w:space="0" w:color="auto"/>
        <w:bottom w:val="none" w:sz="0" w:space="0" w:color="auto"/>
        <w:right w:val="none" w:sz="0" w:space="0" w:color="auto"/>
      </w:divBdr>
    </w:div>
    <w:div w:id="378357362">
      <w:bodyDiv w:val="1"/>
      <w:marLeft w:val="0"/>
      <w:marRight w:val="0"/>
      <w:marTop w:val="0"/>
      <w:marBottom w:val="0"/>
      <w:divBdr>
        <w:top w:val="none" w:sz="0" w:space="0" w:color="auto"/>
        <w:left w:val="none" w:sz="0" w:space="0" w:color="auto"/>
        <w:bottom w:val="none" w:sz="0" w:space="0" w:color="auto"/>
        <w:right w:val="none" w:sz="0" w:space="0" w:color="auto"/>
      </w:divBdr>
    </w:div>
    <w:div w:id="429589973">
      <w:bodyDiv w:val="1"/>
      <w:marLeft w:val="0"/>
      <w:marRight w:val="0"/>
      <w:marTop w:val="0"/>
      <w:marBottom w:val="0"/>
      <w:divBdr>
        <w:top w:val="none" w:sz="0" w:space="0" w:color="auto"/>
        <w:left w:val="none" w:sz="0" w:space="0" w:color="auto"/>
        <w:bottom w:val="none" w:sz="0" w:space="0" w:color="auto"/>
        <w:right w:val="none" w:sz="0" w:space="0" w:color="auto"/>
      </w:divBdr>
    </w:div>
    <w:div w:id="492570722">
      <w:bodyDiv w:val="1"/>
      <w:marLeft w:val="0"/>
      <w:marRight w:val="0"/>
      <w:marTop w:val="0"/>
      <w:marBottom w:val="0"/>
      <w:divBdr>
        <w:top w:val="none" w:sz="0" w:space="0" w:color="auto"/>
        <w:left w:val="none" w:sz="0" w:space="0" w:color="auto"/>
        <w:bottom w:val="none" w:sz="0" w:space="0" w:color="auto"/>
        <w:right w:val="none" w:sz="0" w:space="0" w:color="auto"/>
      </w:divBdr>
    </w:div>
    <w:div w:id="552617110">
      <w:bodyDiv w:val="1"/>
      <w:marLeft w:val="0"/>
      <w:marRight w:val="0"/>
      <w:marTop w:val="0"/>
      <w:marBottom w:val="0"/>
      <w:divBdr>
        <w:top w:val="none" w:sz="0" w:space="0" w:color="auto"/>
        <w:left w:val="none" w:sz="0" w:space="0" w:color="auto"/>
        <w:bottom w:val="none" w:sz="0" w:space="0" w:color="auto"/>
        <w:right w:val="none" w:sz="0" w:space="0" w:color="auto"/>
      </w:divBdr>
    </w:div>
    <w:div w:id="660042726">
      <w:bodyDiv w:val="1"/>
      <w:marLeft w:val="0"/>
      <w:marRight w:val="0"/>
      <w:marTop w:val="0"/>
      <w:marBottom w:val="0"/>
      <w:divBdr>
        <w:top w:val="none" w:sz="0" w:space="0" w:color="auto"/>
        <w:left w:val="none" w:sz="0" w:space="0" w:color="auto"/>
        <w:bottom w:val="none" w:sz="0" w:space="0" w:color="auto"/>
        <w:right w:val="none" w:sz="0" w:space="0" w:color="auto"/>
      </w:divBdr>
    </w:div>
    <w:div w:id="670834550">
      <w:bodyDiv w:val="1"/>
      <w:marLeft w:val="0"/>
      <w:marRight w:val="0"/>
      <w:marTop w:val="0"/>
      <w:marBottom w:val="0"/>
      <w:divBdr>
        <w:top w:val="none" w:sz="0" w:space="0" w:color="auto"/>
        <w:left w:val="none" w:sz="0" w:space="0" w:color="auto"/>
        <w:bottom w:val="none" w:sz="0" w:space="0" w:color="auto"/>
        <w:right w:val="none" w:sz="0" w:space="0" w:color="auto"/>
      </w:divBdr>
    </w:div>
    <w:div w:id="672804684">
      <w:bodyDiv w:val="1"/>
      <w:marLeft w:val="0"/>
      <w:marRight w:val="0"/>
      <w:marTop w:val="0"/>
      <w:marBottom w:val="0"/>
      <w:divBdr>
        <w:top w:val="none" w:sz="0" w:space="0" w:color="auto"/>
        <w:left w:val="none" w:sz="0" w:space="0" w:color="auto"/>
        <w:bottom w:val="none" w:sz="0" w:space="0" w:color="auto"/>
        <w:right w:val="none" w:sz="0" w:space="0" w:color="auto"/>
      </w:divBdr>
    </w:div>
    <w:div w:id="803811978">
      <w:bodyDiv w:val="1"/>
      <w:marLeft w:val="0"/>
      <w:marRight w:val="0"/>
      <w:marTop w:val="0"/>
      <w:marBottom w:val="0"/>
      <w:divBdr>
        <w:top w:val="none" w:sz="0" w:space="0" w:color="auto"/>
        <w:left w:val="none" w:sz="0" w:space="0" w:color="auto"/>
        <w:bottom w:val="none" w:sz="0" w:space="0" w:color="auto"/>
        <w:right w:val="none" w:sz="0" w:space="0" w:color="auto"/>
      </w:divBdr>
    </w:div>
    <w:div w:id="863516490">
      <w:bodyDiv w:val="1"/>
      <w:marLeft w:val="0"/>
      <w:marRight w:val="0"/>
      <w:marTop w:val="0"/>
      <w:marBottom w:val="0"/>
      <w:divBdr>
        <w:top w:val="none" w:sz="0" w:space="0" w:color="auto"/>
        <w:left w:val="none" w:sz="0" w:space="0" w:color="auto"/>
        <w:bottom w:val="none" w:sz="0" w:space="0" w:color="auto"/>
        <w:right w:val="none" w:sz="0" w:space="0" w:color="auto"/>
      </w:divBdr>
    </w:div>
    <w:div w:id="884683771">
      <w:bodyDiv w:val="1"/>
      <w:marLeft w:val="0"/>
      <w:marRight w:val="0"/>
      <w:marTop w:val="0"/>
      <w:marBottom w:val="0"/>
      <w:divBdr>
        <w:top w:val="none" w:sz="0" w:space="0" w:color="auto"/>
        <w:left w:val="none" w:sz="0" w:space="0" w:color="auto"/>
        <w:bottom w:val="none" w:sz="0" w:space="0" w:color="auto"/>
        <w:right w:val="none" w:sz="0" w:space="0" w:color="auto"/>
      </w:divBdr>
    </w:div>
    <w:div w:id="905261968">
      <w:bodyDiv w:val="1"/>
      <w:marLeft w:val="0"/>
      <w:marRight w:val="0"/>
      <w:marTop w:val="0"/>
      <w:marBottom w:val="0"/>
      <w:divBdr>
        <w:top w:val="none" w:sz="0" w:space="0" w:color="auto"/>
        <w:left w:val="none" w:sz="0" w:space="0" w:color="auto"/>
        <w:bottom w:val="none" w:sz="0" w:space="0" w:color="auto"/>
        <w:right w:val="none" w:sz="0" w:space="0" w:color="auto"/>
      </w:divBdr>
    </w:div>
    <w:div w:id="989097649">
      <w:bodyDiv w:val="1"/>
      <w:marLeft w:val="0"/>
      <w:marRight w:val="0"/>
      <w:marTop w:val="0"/>
      <w:marBottom w:val="0"/>
      <w:divBdr>
        <w:top w:val="none" w:sz="0" w:space="0" w:color="auto"/>
        <w:left w:val="none" w:sz="0" w:space="0" w:color="auto"/>
        <w:bottom w:val="none" w:sz="0" w:space="0" w:color="auto"/>
        <w:right w:val="none" w:sz="0" w:space="0" w:color="auto"/>
      </w:divBdr>
    </w:div>
    <w:div w:id="1244684717">
      <w:bodyDiv w:val="1"/>
      <w:marLeft w:val="0"/>
      <w:marRight w:val="0"/>
      <w:marTop w:val="0"/>
      <w:marBottom w:val="0"/>
      <w:divBdr>
        <w:top w:val="none" w:sz="0" w:space="0" w:color="auto"/>
        <w:left w:val="none" w:sz="0" w:space="0" w:color="auto"/>
        <w:bottom w:val="none" w:sz="0" w:space="0" w:color="auto"/>
        <w:right w:val="none" w:sz="0" w:space="0" w:color="auto"/>
      </w:divBdr>
    </w:div>
    <w:div w:id="1355303170">
      <w:bodyDiv w:val="1"/>
      <w:marLeft w:val="0"/>
      <w:marRight w:val="0"/>
      <w:marTop w:val="0"/>
      <w:marBottom w:val="0"/>
      <w:divBdr>
        <w:top w:val="none" w:sz="0" w:space="0" w:color="auto"/>
        <w:left w:val="none" w:sz="0" w:space="0" w:color="auto"/>
        <w:bottom w:val="none" w:sz="0" w:space="0" w:color="auto"/>
        <w:right w:val="none" w:sz="0" w:space="0" w:color="auto"/>
      </w:divBdr>
    </w:div>
    <w:div w:id="1465347285">
      <w:bodyDiv w:val="1"/>
      <w:marLeft w:val="0"/>
      <w:marRight w:val="0"/>
      <w:marTop w:val="0"/>
      <w:marBottom w:val="0"/>
      <w:divBdr>
        <w:top w:val="none" w:sz="0" w:space="0" w:color="auto"/>
        <w:left w:val="none" w:sz="0" w:space="0" w:color="auto"/>
        <w:bottom w:val="none" w:sz="0" w:space="0" w:color="auto"/>
        <w:right w:val="none" w:sz="0" w:space="0" w:color="auto"/>
      </w:divBdr>
      <w:divsChild>
        <w:div w:id="986518628">
          <w:marLeft w:val="0"/>
          <w:marRight w:val="0"/>
          <w:marTop w:val="0"/>
          <w:marBottom w:val="0"/>
          <w:divBdr>
            <w:top w:val="none" w:sz="0" w:space="0" w:color="auto"/>
            <w:left w:val="none" w:sz="0" w:space="0" w:color="auto"/>
            <w:bottom w:val="none" w:sz="0" w:space="0" w:color="auto"/>
            <w:right w:val="none" w:sz="0" w:space="0" w:color="auto"/>
          </w:divBdr>
          <w:divsChild>
            <w:div w:id="8963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8942">
      <w:bodyDiv w:val="1"/>
      <w:marLeft w:val="0"/>
      <w:marRight w:val="0"/>
      <w:marTop w:val="0"/>
      <w:marBottom w:val="0"/>
      <w:divBdr>
        <w:top w:val="none" w:sz="0" w:space="0" w:color="auto"/>
        <w:left w:val="none" w:sz="0" w:space="0" w:color="auto"/>
        <w:bottom w:val="none" w:sz="0" w:space="0" w:color="auto"/>
        <w:right w:val="none" w:sz="0" w:space="0" w:color="auto"/>
      </w:divBdr>
    </w:div>
    <w:div w:id="1580363787">
      <w:bodyDiv w:val="1"/>
      <w:marLeft w:val="0"/>
      <w:marRight w:val="0"/>
      <w:marTop w:val="0"/>
      <w:marBottom w:val="0"/>
      <w:divBdr>
        <w:top w:val="none" w:sz="0" w:space="0" w:color="auto"/>
        <w:left w:val="none" w:sz="0" w:space="0" w:color="auto"/>
        <w:bottom w:val="none" w:sz="0" w:space="0" w:color="auto"/>
        <w:right w:val="none" w:sz="0" w:space="0" w:color="auto"/>
      </w:divBdr>
    </w:div>
    <w:div w:id="1585455119">
      <w:bodyDiv w:val="1"/>
      <w:marLeft w:val="0"/>
      <w:marRight w:val="0"/>
      <w:marTop w:val="0"/>
      <w:marBottom w:val="0"/>
      <w:divBdr>
        <w:top w:val="none" w:sz="0" w:space="0" w:color="auto"/>
        <w:left w:val="none" w:sz="0" w:space="0" w:color="auto"/>
        <w:bottom w:val="none" w:sz="0" w:space="0" w:color="auto"/>
        <w:right w:val="none" w:sz="0" w:space="0" w:color="auto"/>
      </w:divBdr>
    </w:div>
    <w:div w:id="1633755903">
      <w:bodyDiv w:val="1"/>
      <w:marLeft w:val="0"/>
      <w:marRight w:val="0"/>
      <w:marTop w:val="0"/>
      <w:marBottom w:val="0"/>
      <w:divBdr>
        <w:top w:val="none" w:sz="0" w:space="0" w:color="auto"/>
        <w:left w:val="none" w:sz="0" w:space="0" w:color="auto"/>
        <w:bottom w:val="none" w:sz="0" w:space="0" w:color="auto"/>
        <w:right w:val="none" w:sz="0" w:space="0" w:color="auto"/>
      </w:divBdr>
    </w:div>
    <w:div w:id="1714228516">
      <w:bodyDiv w:val="1"/>
      <w:marLeft w:val="0"/>
      <w:marRight w:val="0"/>
      <w:marTop w:val="0"/>
      <w:marBottom w:val="0"/>
      <w:divBdr>
        <w:top w:val="none" w:sz="0" w:space="0" w:color="auto"/>
        <w:left w:val="none" w:sz="0" w:space="0" w:color="auto"/>
        <w:bottom w:val="none" w:sz="0" w:space="0" w:color="auto"/>
        <w:right w:val="none" w:sz="0" w:space="0" w:color="auto"/>
      </w:divBdr>
    </w:div>
    <w:div w:id="1718040377">
      <w:bodyDiv w:val="1"/>
      <w:marLeft w:val="0"/>
      <w:marRight w:val="0"/>
      <w:marTop w:val="0"/>
      <w:marBottom w:val="0"/>
      <w:divBdr>
        <w:top w:val="none" w:sz="0" w:space="0" w:color="auto"/>
        <w:left w:val="none" w:sz="0" w:space="0" w:color="auto"/>
        <w:bottom w:val="none" w:sz="0" w:space="0" w:color="auto"/>
        <w:right w:val="none" w:sz="0" w:space="0" w:color="auto"/>
      </w:divBdr>
    </w:div>
    <w:div w:id="1742751278">
      <w:bodyDiv w:val="1"/>
      <w:marLeft w:val="0"/>
      <w:marRight w:val="0"/>
      <w:marTop w:val="0"/>
      <w:marBottom w:val="0"/>
      <w:divBdr>
        <w:top w:val="none" w:sz="0" w:space="0" w:color="auto"/>
        <w:left w:val="none" w:sz="0" w:space="0" w:color="auto"/>
        <w:bottom w:val="none" w:sz="0" w:space="0" w:color="auto"/>
        <w:right w:val="none" w:sz="0" w:space="0" w:color="auto"/>
      </w:divBdr>
    </w:div>
    <w:div w:id="1823962221">
      <w:bodyDiv w:val="1"/>
      <w:marLeft w:val="0"/>
      <w:marRight w:val="0"/>
      <w:marTop w:val="0"/>
      <w:marBottom w:val="0"/>
      <w:divBdr>
        <w:top w:val="none" w:sz="0" w:space="0" w:color="auto"/>
        <w:left w:val="none" w:sz="0" w:space="0" w:color="auto"/>
        <w:bottom w:val="none" w:sz="0" w:space="0" w:color="auto"/>
        <w:right w:val="none" w:sz="0" w:space="0" w:color="auto"/>
      </w:divBdr>
    </w:div>
    <w:div w:id="1831091552">
      <w:bodyDiv w:val="1"/>
      <w:marLeft w:val="0"/>
      <w:marRight w:val="0"/>
      <w:marTop w:val="0"/>
      <w:marBottom w:val="0"/>
      <w:divBdr>
        <w:top w:val="none" w:sz="0" w:space="0" w:color="auto"/>
        <w:left w:val="none" w:sz="0" w:space="0" w:color="auto"/>
        <w:bottom w:val="none" w:sz="0" w:space="0" w:color="auto"/>
        <w:right w:val="none" w:sz="0" w:space="0" w:color="auto"/>
      </w:divBdr>
    </w:div>
    <w:div w:id="1901553859">
      <w:bodyDiv w:val="1"/>
      <w:marLeft w:val="0"/>
      <w:marRight w:val="0"/>
      <w:marTop w:val="0"/>
      <w:marBottom w:val="0"/>
      <w:divBdr>
        <w:top w:val="none" w:sz="0" w:space="0" w:color="auto"/>
        <w:left w:val="none" w:sz="0" w:space="0" w:color="auto"/>
        <w:bottom w:val="none" w:sz="0" w:space="0" w:color="auto"/>
        <w:right w:val="none" w:sz="0" w:space="0" w:color="auto"/>
      </w:divBdr>
    </w:div>
    <w:div w:id="2054308514">
      <w:bodyDiv w:val="1"/>
      <w:marLeft w:val="0"/>
      <w:marRight w:val="0"/>
      <w:marTop w:val="0"/>
      <w:marBottom w:val="0"/>
      <w:divBdr>
        <w:top w:val="none" w:sz="0" w:space="0" w:color="auto"/>
        <w:left w:val="none" w:sz="0" w:space="0" w:color="auto"/>
        <w:bottom w:val="none" w:sz="0" w:space="0" w:color="auto"/>
        <w:right w:val="none" w:sz="0" w:space="0" w:color="auto"/>
      </w:divBdr>
    </w:div>
    <w:div w:id="2081251710">
      <w:bodyDiv w:val="1"/>
      <w:marLeft w:val="0"/>
      <w:marRight w:val="0"/>
      <w:marTop w:val="0"/>
      <w:marBottom w:val="0"/>
      <w:divBdr>
        <w:top w:val="none" w:sz="0" w:space="0" w:color="auto"/>
        <w:left w:val="none" w:sz="0" w:space="0" w:color="auto"/>
        <w:bottom w:val="none" w:sz="0" w:space="0" w:color="auto"/>
        <w:right w:val="none" w:sz="0" w:space="0" w:color="auto"/>
      </w:divBdr>
    </w:div>
    <w:div w:id="2097481972">
      <w:bodyDiv w:val="1"/>
      <w:marLeft w:val="0"/>
      <w:marRight w:val="0"/>
      <w:marTop w:val="0"/>
      <w:marBottom w:val="0"/>
      <w:divBdr>
        <w:top w:val="none" w:sz="0" w:space="0" w:color="auto"/>
        <w:left w:val="none" w:sz="0" w:space="0" w:color="auto"/>
        <w:bottom w:val="none" w:sz="0" w:space="0" w:color="auto"/>
        <w:right w:val="none" w:sz="0" w:space="0" w:color="auto"/>
      </w:divBdr>
    </w:div>
    <w:div w:id="211493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4149D-8E97-4494-9F00-2A77DA00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2331</Words>
  <Characters>13291</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UVA</dc:creator>
  <cp:keywords/>
  <dc:description/>
  <cp:lastModifiedBy>ANTONIO UVA</cp:lastModifiedBy>
  <cp:revision>17</cp:revision>
  <cp:lastPrinted>2025-08-10T12:32:00Z</cp:lastPrinted>
  <dcterms:created xsi:type="dcterms:W3CDTF">2025-08-10T11:22:00Z</dcterms:created>
  <dcterms:modified xsi:type="dcterms:W3CDTF">2025-08-11T13:50:00Z</dcterms:modified>
</cp:coreProperties>
</file>